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5226A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22.02.2024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10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85226A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Пешеходные дорожки очищены от снежного  массива</w:t>
      </w:r>
      <w:bookmarkStart w:id="0" w:name="_GoBack"/>
      <w:bookmarkEnd w:id="0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4214E2"/>
    <w:rsid w:val="004316D1"/>
    <w:rsid w:val="004D1907"/>
    <w:rsid w:val="004E25D7"/>
    <w:rsid w:val="00764EE8"/>
    <w:rsid w:val="007B52AF"/>
    <w:rsid w:val="00801F57"/>
    <w:rsid w:val="0085226A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2024-05-29T07:21:00Z</dcterms:modified>
</cp:coreProperties>
</file>