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b/>
          <w:color w:val="283347"/>
          <w:sz w:val="28"/>
          <w:szCs w:val="22"/>
        </w:rPr>
      </w:pPr>
      <w:r w:rsidRPr="00940D66">
        <w:rPr>
          <w:rFonts w:ascii="PT Astra Serif" w:hAnsi="PT Astra Serif" w:cs="Tahoma"/>
          <w:b/>
          <w:color w:val="283347"/>
          <w:sz w:val="28"/>
          <w:szCs w:val="22"/>
        </w:rPr>
        <w:t>Статья 18. Имущественная поддержка субъектов малого и среднего предпринимательства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 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1.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Указанное имущество должно использоваться по целевому назначению.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(в ред. Федеральных законов от 02.07.2013 N 144-ФЗ, от 29.06.2015 N 156-ФЗ)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2.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(в ред. Федерального закона от 02.07.2013 N 144-ФЗ)</w:t>
      </w:r>
    </w:p>
    <w:p w:rsidR="00940D66" w:rsidRPr="00940D66" w:rsidRDefault="00940D66" w:rsidP="00940D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3.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 </w:t>
      </w:r>
      <w:hyperlink r:id="rId5" w:anchor="Par2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частью 1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> 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иму</w:t>
      </w:r>
      <w:bookmarkStart w:id="0" w:name="_GoBack"/>
      <w:bookmarkEnd w:id="0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ществом при его использовании </w:t>
      </w:r>
      <w:r w:rsidRPr="00940D66">
        <w:rPr>
          <w:rFonts w:ascii="PT Astra Serif" w:hAnsi="PT Astra Serif" w:cs="Tahoma"/>
          <w:color w:val="283347"/>
          <w:sz w:val="28"/>
          <w:szCs w:val="22"/>
        </w:rPr>
        <w:lastRenderedPageBreak/>
        <w:t>не по целевому назначению и (или) с нарушением запретов, установленных </w:t>
      </w:r>
      <w:hyperlink r:id="rId6" w:anchor="Par4" w:tooltip="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частью 2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> настоящей статьи.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4.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государственным имуществом и муниципальным имуществом.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в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ред. Федеральных законов от 22.07.2008 N 159-ФЗ, от 02.07.2013 N 144-ФЗ, от 23.07.2013 N 238-ФЗ, от 29.06.2015 N 156-ФЗ, от 29.12.2015 N 408-ФЗ)</w:t>
      </w:r>
    </w:p>
    <w:p w:rsidR="00940D66" w:rsidRPr="00940D66" w:rsidRDefault="00940D66" w:rsidP="00940D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4.1.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Порядок формирования, ведения, обязательного опубликования указанных в </w:t>
      </w:r>
      <w:hyperlink r:id="rId7" w:anchor="Par7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части 4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> настоящей статьи перечней, а также порядок и условия предоставления в аренду (в том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числе льготы для субъектов малого и среднего предпринимательства,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(часть 4.1 введена Федеральным законом от 22.07.2008 N 159-ФЗ, в ред. Федеральных законов от 02.07.2013 N 144-ФЗ, от 29.06.2015 N 156-ФЗ)</w:t>
      </w:r>
    </w:p>
    <w:p w:rsidR="00940D66" w:rsidRPr="00940D66" w:rsidRDefault="00940D66" w:rsidP="00940D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4.2.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Государственное и муниципальное имущество, включенное в перечни, указанные в </w:t>
      </w:r>
      <w:hyperlink r:id="rId8" w:anchor="Par7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части 4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 настоящей статьи, не подлежит отчуждению в </w:t>
      </w:r>
      <w:r w:rsidRPr="00940D66">
        <w:rPr>
          <w:rFonts w:ascii="PT Astra Serif" w:hAnsi="PT Astra Serif" w:cs="Tahoma"/>
          <w:color w:val="283347"/>
          <w:sz w:val="28"/>
          <w:szCs w:val="22"/>
        </w:rPr>
        <w:lastRenderedPageBreak/>
        <w:t>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(часть 4.2 в ред. Федерального закона от 02.07.2013 N 144-ФЗ)</w:t>
      </w:r>
    </w:p>
    <w:p w:rsidR="00940D66" w:rsidRPr="00940D66" w:rsidRDefault="00940D66" w:rsidP="00940D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4.3. Срок, на который заключаются договоры в отношении имущества, включенного в перечни, указанные в </w:t>
      </w:r>
      <w:hyperlink r:id="rId9" w:anchor="Par7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части 4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 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бизнес-инкубаторами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(часть 4.3 введена Федеральным законом от 06.12.2011 N 401-ФЗ)</w:t>
      </w:r>
    </w:p>
    <w:p w:rsidR="00940D66" w:rsidRPr="00940D66" w:rsidRDefault="00940D66" w:rsidP="00940D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4.4. Сведения об утвержденных перечнях государственного имущества и муниципального имущества, указанных в </w:t>
      </w:r>
      <w:hyperlink r:id="rId10" w:anchor="Par7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части 4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> настоящей статьи,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ч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>асть 4.4 в ред. Федерального закона от 29.12.2015 N 408-ФЗ)</w:t>
      </w:r>
    </w:p>
    <w:p w:rsidR="00940D66" w:rsidRPr="00940D66" w:rsidRDefault="00940D66" w:rsidP="00940D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4.5. Размер льготной ставки арендной платы по договорам в отношении имущества, включенного в перечни, указанные в </w:t>
      </w:r>
      <w:hyperlink r:id="rId11" w:anchor="Par7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части 4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> настоящей статьи, определяется нормативным правовым актом Правительства Российской Федерации, нормативными правовыми актами субъектов Российской Федерации, муниципальными правовыми актами.</w:t>
      </w:r>
    </w:p>
    <w:p w:rsidR="00940D66" w:rsidRPr="00940D66" w:rsidRDefault="00940D66" w:rsidP="00940D66">
      <w:pPr>
        <w:pStyle w:val="a3"/>
        <w:shd w:val="clear" w:color="auto" w:fill="FFFFFF"/>
        <w:spacing w:before="45" w:beforeAutospacing="0" w:after="45" w:afterAutospacing="0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(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ч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>асть 4.5 введена Федеральным законом от 03.07.2016 N 265-ФЗ)</w:t>
      </w:r>
    </w:p>
    <w:p w:rsidR="00940D66" w:rsidRPr="00940D66" w:rsidRDefault="00940D66" w:rsidP="00940D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283347"/>
          <w:sz w:val="28"/>
          <w:szCs w:val="22"/>
        </w:rPr>
      </w:pPr>
      <w:r w:rsidRPr="00940D66">
        <w:rPr>
          <w:rFonts w:ascii="PT Astra Serif" w:hAnsi="PT Astra Serif" w:cs="Tahoma"/>
          <w:color w:val="283347"/>
          <w:sz w:val="28"/>
          <w:szCs w:val="22"/>
        </w:rPr>
        <w:t>5. В случае</w:t>
      </w:r>
      <w:proofErr w:type="gramStart"/>
      <w:r w:rsidRPr="00940D66">
        <w:rPr>
          <w:rFonts w:ascii="PT Astra Serif" w:hAnsi="PT Astra Serif" w:cs="Tahoma"/>
          <w:color w:val="283347"/>
          <w:sz w:val="28"/>
          <w:szCs w:val="22"/>
        </w:rPr>
        <w:t>,</w:t>
      </w:r>
      <w:proofErr w:type="gramEnd"/>
      <w:r w:rsidRPr="00940D66">
        <w:rPr>
          <w:rFonts w:ascii="PT Astra Serif" w:hAnsi="PT Astra Serif" w:cs="Tahoma"/>
          <w:color w:val="283347"/>
          <w:sz w:val="28"/>
          <w:szCs w:val="22"/>
        </w:rPr>
        <w:t xml:space="preserve">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 </w:t>
      </w:r>
      <w:hyperlink r:id="rId12" w:anchor="Par2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" w:history="1">
        <w:r w:rsidRPr="00940D66">
          <w:rPr>
            <w:rStyle w:val="a4"/>
            <w:rFonts w:ascii="PT Astra Serif" w:hAnsi="PT Astra Serif" w:cs="Tahoma"/>
            <w:color w:val="004581"/>
            <w:sz w:val="28"/>
            <w:szCs w:val="22"/>
          </w:rPr>
          <w:t>частью 1</w:t>
        </w:r>
      </w:hyperlink>
      <w:r w:rsidRPr="00940D66">
        <w:rPr>
          <w:rFonts w:ascii="PT Astra Serif" w:hAnsi="PT Astra Serif" w:cs="Tahoma"/>
          <w:color w:val="283347"/>
          <w:sz w:val="28"/>
          <w:szCs w:val="22"/>
        </w:rPr>
        <w:t> 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612817" w:rsidRPr="00940D66" w:rsidRDefault="00612817" w:rsidP="00940D66">
      <w:pPr>
        <w:jc w:val="both"/>
        <w:rPr>
          <w:rFonts w:ascii="PT Astra Serif" w:hAnsi="PT Astra Serif"/>
          <w:sz w:val="28"/>
        </w:rPr>
      </w:pPr>
    </w:p>
    <w:sectPr w:rsidR="00612817" w:rsidRPr="00940D66" w:rsidSect="00940D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BC"/>
    <w:rsid w:val="00612817"/>
    <w:rsid w:val="00940D66"/>
    <w:rsid w:val="00C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12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11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5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10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-sahcha.m-vestnik.ru/poselenia-gkh/mo_st-sahcha/podderzhka-subektov-malogo-i-srednego-predprinimatelstva/1071-st18-federalnogo-zakona-ot-24072008-g-209-fz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2023-02-14T13:35:00Z</dcterms:created>
  <dcterms:modified xsi:type="dcterms:W3CDTF">2023-02-14T13:36:00Z</dcterms:modified>
</cp:coreProperties>
</file>