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881F1C" w:rsidRPr="00D85D1D" w:rsidTr="009342A6">
        <w:trPr>
          <w:trHeight w:val="3899"/>
        </w:trPr>
        <w:tc>
          <w:tcPr>
            <w:tcW w:w="9841" w:type="dxa"/>
            <w:shd w:val="clear" w:color="auto" w:fill="auto"/>
          </w:tcPr>
          <w:p w:rsidR="008D756F" w:rsidRPr="00FB0D08" w:rsidRDefault="00A35A21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</w:t>
            </w:r>
            <w:r w:rsidR="00186833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Ц</w:t>
            </w: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ИЯ </w:t>
            </w:r>
            <w:r w:rsidR="008D756F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МУНИЦИПАЛЬНО</w:t>
            </w: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ГО</w:t>
            </w:r>
            <w:r w:rsidR="008D756F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 ОБРАЗОВАНИ</w:t>
            </w: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Я</w:t>
            </w:r>
          </w:p>
          <w:p w:rsidR="00A35A21" w:rsidRPr="00FB0D08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«СТАРОСАХЧИНСКОЕ СЕЛЬСКОЕ ПОСЕЛЕНИЕ» </w:t>
            </w:r>
          </w:p>
          <w:p w:rsidR="00881F1C" w:rsidRPr="00FB0D08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МЕЛЕКЕССКОГО РАЙОНА УЛЬЯНОВСКОЙ ОБЛАСТИ</w:t>
            </w:r>
          </w:p>
          <w:p w:rsidR="00881F1C" w:rsidRPr="00FB0D08" w:rsidRDefault="00881F1C" w:rsidP="00881F1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:rsidR="00881F1C" w:rsidRPr="00FB0D08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П О С Т А Н О В Л Е Н И </w:t>
            </w:r>
            <w:r w:rsidR="00D752BE" w:rsidRPr="00FB0D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Е</w:t>
            </w:r>
          </w:p>
          <w:p w:rsidR="00881F1C" w:rsidRPr="00D85D1D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</w:p>
          <w:p w:rsidR="00881F1C" w:rsidRPr="00D85D1D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</w:p>
          <w:p w:rsidR="00881F1C" w:rsidRPr="00D85D1D" w:rsidRDefault="00704FFF" w:rsidP="00881F1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20</w:t>
            </w:r>
            <w:r w:rsidR="00787161"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12</w:t>
            </w:r>
            <w:r w:rsidR="00787161"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</w:t>
            </w:r>
            <w:r w:rsidR="0062019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24</w:t>
            </w:r>
            <w:r w:rsidR="00881F1C"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</w:t>
            </w:r>
            <w:r w:rsidR="0062019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</w:t>
            </w:r>
            <w:r w:rsidR="00881F1C"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42</w:t>
            </w:r>
          </w:p>
          <w:p w:rsidR="00881F1C" w:rsidRPr="00D85D1D" w:rsidRDefault="00881F1C" w:rsidP="00881F1C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881F1C" w:rsidRPr="00D85D1D" w:rsidRDefault="005C5CA5" w:rsidP="00A35A2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</w:t>
            </w:r>
            <w:r w:rsidR="00A35A21" w:rsidRPr="00D85D1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кз.№ ____</w:t>
            </w:r>
          </w:p>
        </w:tc>
      </w:tr>
    </w:tbl>
    <w:p w:rsidR="008D756F" w:rsidRPr="00FB0D08" w:rsidRDefault="008D756F" w:rsidP="008D75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B0D08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881F1C" w:rsidRPr="00FB0D08" w:rsidRDefault="008D756F" w:rsidP="008D75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B0D08">
        <w:rPr>
          <w:rFonts w:ascii="PT Astra Serif" w:eastAsia="Times New Roman" w:hAnsi="PT Astra Serif" w:cs="Times New Roman"/>
          <w:b/>
          <w:sz w:val="28"/>
          <w:szCs w:val="28"/>
        </w:rPr>
        <w:t>"Управление  финансами муниципального образования "Старосахчинское сельское поселение"Мелекесского района Ульяновской области</w:t>
      </w:r>
    </w:p>
    <w:p w:rsidR="00186833" w:rsidRPr="00FB0D08" w:rsidRDefault="00186833" w:rsidP="0018683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06ED7" w:rsidRPr="00FB0D08" w:rsidRDefault="00506ED7" w:rsidP="00506ED7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</w:pPr>
      <w:r w:rsidRPr="00FB0D0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Руководствуясь статьёй 179 Бюджетного кодекса Российской Федерации, </w:t>
      </w:r>
      <w:hyperlink r:id="rId9" w:history="1">
        <w:r w:rsidRPr="00FB0D08">
          <w:rPr>
            <w:rFonts w:ascii="PT Astra Serif" w:eastAsia="Times New Roman" w:hAnsi="PT Astra Serif" w:cs="PT Astra Serif"/>
            <w:color w:val="000000" w:themeColor="text1"/>
            <w:sz w:val="28"/>
            <w:szCs w:val="28"/>
          </w:rPr>
          <w:t>постановлением</w:t>
        </w:r>
      </w:hyperlink>
      <w:r w:rsidRPr="00FB0D0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Pr="00FB0D08">
        <w:rPr>
          <w:rFonts w:ascii="PT Astra Serif" w:eastAsia="Times New Roman" w:hAnsi="PT Astra Serif" w:cs="Times New Roman"/>
          <w:sz w:val="28"/>
          <w:szCs w:val="28"/>
        </w:rPr>
        <w:t>«Старосахчинское сельское поселение» Мелекесского района Ульяновской области</w:t>
      </w:r>
      <w:r w:rsidR="00564522" w:rsidRPr="00FB0D0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от </w:t>
      </w:r>
      <w:r w:rsidR="00704FFF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09.12.2024 № 36</w:t>
      </w:r>
      <w:r w:rsidRPr="00FB0D0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«Об утверждении Правил разработки, реализации и оценки эффективности реализации муниципальных программ муниципального образования «</w:t>
      </w:r>
      <w:r w:rsidRPr="00FB0D08">
        <w:rPr>
          <w:rFonts w:ascii="PT Astra Serif" w:eastAsia="Times New Roman" w:hAnsi="PT Astra Serif" w:cs="Times New Roman"/>
          <w:sz w:val="28"/>
          <w:szCs w:val="28"/>
        </w:rPr>
        <w:t xml:space="preserve">Старосахчинское сельское поселение» Мелекесского района </w:t>
      </w:r>
      <w:r w:rsidRPr="00FB0D08"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>Ульяновской области, а также осуществления контроля за ходом их реализации», постановляет:</w:t>
      </w:r>
    </w:p>
    <w:p w:rsidR="00186833" w:rsidRPr="00FB0D08" w:rsidRDefault="00186833" w:rsidP="00825562">
      <w:pPr>
        <w:numPr>
          <w:ilvl w:val="0"/>
          <w:numId w:val="12"/>
        </w:numPr>
        <w:suppressAutoHyphens/>
        <w:spacing w:after="0" w:line="240" w:lineRule="auto"/>
        <w:ind w:left="0" w:firstLine="623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B0D08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 «Управление финансами муниципального образования «Старосахчинское сельское поселение» Мелекесского района Ульяновской области согласно приложению к настоящему постановлению.</w:t>
      </w:r>
    </w:p>
    <w:p w:rsidR="00704FFF" w:rsidRDefault="00704FFF" w:rsidP="00FB0D08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704FFF">
        <w:rPr>
          <w:rFonts w:ascii="PT Astra Serif" w:eastAsia="Times New Roman" w:hAnsi="PT Astra Serif" w:cs="Times New Roman"/>
          <w:sz w:val="28"/>
          <w:szCs w:val="28"/>
          <w:lang w:eastAsia="zh-CN"/>
        </w:rPr>
        <w:t>2. Настоящее постановление подлежит официальному обнародованию и вступает в силу с 01.01.2025 .</w:t>
      </w:r>
    </w:p>
    <w:p w:rsidR="00881F1C" w:rsidRPr="00FB0D08" w:rsidRDefault="00027D81" w:rsidP="00FB0D08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B0D08">
        <w:rPr>
          <w:rFonts w:ascii="PT Astra Serif" w:eastAsia="Times New Roman" w:hAnsi="PT Astra Serif" w:cs="Times New Roman"/>
          <w:sz w:val="28"/>
          <w:szCs w:val="28"/>
        </w:rPr>
        <w:t>3</w:t>
      </w:r>
      <w:r w:rsidR="00881F1C" w:rsidRPr="00FB0D0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9A7125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FB0D0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81F1C" w:rsidRPr="00FB0D08">
        <w:rPr>
          <w:rFonts w:ascii="PT Astra Serif" w:eastAsia="Times New Roman" w:hAnsi="PT Astra Serif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7125" w:rsidRDefault="009A7125" w:rsidP="009A7125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</w:t>
      </w:r>
    </w:p>
    <w:p w:rsidR="009A7125" w:rsidRDefault="009A7125" w:rsidP="009A7125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9A7125" w:rsidRDefault="009A7125" w:rsidP="009A7125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9A7125" w:rsidRDefault="009A7125" w:rsidP="009A7125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881F1C" w:rsidRPr="00FB0D08" w:rsidRDefault="00881F1C" w:rsidP="009A7125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>Глава администрации муниципального</w:t>
      </w:r>
      <w:r w:rsidR="00D752BE" w:rsidRP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образования</w:t>
      </w:r>
    </w:p>
    <w:p w:rsidR="00FD4B27" w:rsidRDefault="00E34275" w:rsidP="00FB0D0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>«Старосахчинское сельское поселение»</w:t>
      </w:r>
      <w:r w:rsidR="00881F1C" w:rsidRP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9A712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</w:t>
      </w:r>
      <w:r w:rsidR="00FB0D08">
        <w:rPr>
          <w:rFonts w:ascii="PT Astra Serif" w:eastAsia="Times New Roman" w:hAnsi="PT Astra Serif" w:cs="Times New Roman"/>
          <w:sz w:val="28"/>
          <w:szCs w:val="28"/>
          <w:lang w:eastAsia="zh-CN"/>
        </w:rPr>
        <w:t>Н.В.Костин</w:t>
      </w:r>
    </w:p>
    <w:p w:rsidR="009A7125" w:rsidRDefault="009A7125" w:rsidP="00FB0D0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9A7125" w:rsidRDefault="009A7125" w:rsidP="00FB0D0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9A7125" w:rsidRDefault="009A7125" w:rsidP="00FB0D0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9A7125" w:rsidRPr="00FB0D08" w:rsidRDefault="009A7125" w:rsidP="00FB0D0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EA4D9D" w:rsidRPr="00D85D1D" w:rsidRDefault="00FD4B27" w:rsidP="00EA4D9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Стратегические приоритеты</w:t>
      </w:r>
      <w:r w:rsidRPr="00FD4B27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 xml:space="preserve"> муниципальной программы </w:t>
      </w: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«</w:t>
      </w:r>
      <w:r w:rsidR="00EA4D9D" w:rsidRPr="00EA4D9D">
        <w:rPr>
          <w:rFonts w:ascii="PT Astra Serif" w:eastAsia="Times New Roman" w:hAnsi="PT Astra Serif" w:cs="Times New Roman"/>
          <w:b/>
          <w:sz w:val="28"/>
          <w:szCs w:val="28"/>
        </w:rPr>
        <w:t>Управление  финансами муниципального образования "Старосахчинское сельское поселение"</w:t>
      </w:r>
      <w:r w:rsidR="00D8041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A4D9D" w:rsidRPr="00EA4D9D">
        <w:rPr>
          <w:rFonts w:ascii="PT Astra Serif" w:eastAsia="Times New Roman" w:hAnsi="PT Astra Serif" w:cs="Times New Roman"/>
          <w:b/>
          <w:sz w:val="28"/>
          <w:szCs w:val="28"/>
        </w:rPr>
        <w:t>Мелекесского района Ульяновской области</w:t>
      </w:r>
    </w:p>
    <w:p w:rsidR="00FD4B27" w:rsidRPr="00FD4B27" w:rsidRDefault="00FD4B27" w:rsidP="00FD4B27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Arial"/>
          <w:b/>
          <w:sz w:val="28"/>
          <w:szCs w:val="28"/>
          <w:lang w:eastAsia="zh-CN"/>
        </w:rPr>
        <w:t>1. Оценка текущего состояния сферы реализации муниципальной программы</w:t>
      </w:r>
    </w:p>
    <w:p w:rsidR="00FD4B27" w:rsidRPr="00FD4B2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D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Программа разработана и </w:t>
      </w:r>
      <w:r w:rsidRPr="00FD4B2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определяет цели, задачи и основные направления </w:t>
      </w:r>
      <w:r w:rsidR="00EA4D9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4D9D" w:rsidRPr="00EA4D9D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EA4D9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4D9D" w:rsidRPr="00EA4D9D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сбалансированности и устойчивости бюджета муниципального образования</w:t>
      </w:r>
      <w:r w:rsidR="00EA4D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4D9D" w:rsidRPr="00EA4D9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A4D9D" w:rsidRPr="00EA4D9D">
        <w:rPr>
          <w:rFonts w:ascii="Times New Roman" w:eastAsia="Times New Roman" w:hAnsi="Times New Roman" w:cs="Times New Roman"/>
          <w:sz w:val="28"/>
          <w:szCs w:val="28"/>
        </w:rPr>
        <w:t>обеспечение ответственного управления муниципальными финансами и осуществление бюджетного процесса на основе принципов предсказуемости и преемственности бюджетной деятельности</w:t>
      </w:r>
    </w:p>
    <w:p w:rsidR="00FD4B27" w:rsidRPr="00FD4B27" w:rsidRDefault="00FD4B27" w:rsidP="00D745C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Целью муниципальной программы является </w:t>
      </w:r>
      <w:r w:rsidR="00D745C2" w:rsidRPr="00D745C2">
        <w:rPr>
          <w:rFonts w:ascii="Times New Roman" w:eastAsia="Times New Roman" w:hAnsi="Times New Roman" w:cs="Times New Roman"/>
          <w:sz w:val="28"/>
          <w:szCs w:val="28"/>
        </w:rPr>
        <w:t>формирование сбалансированного проекта бюджета муниципального образования "Старосахчинское сельское поселение"Мелекесского района Ульяновской области,</w:t>
      </w:r>
      <w:r w:rsidR="00D74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5C2" w:rsidRPr="00D745C2">
        <w:rPr>
          <w:rFonts w:ascii="Times New Roman" w:eastAsia="Times New Roman" w:hAnsi="Times New Roman" w:cs="Times New Roman"/>
          <w:sz w:val="28"/>
          <w:szCs w:val="28"/>
        </w:rPr>
        <w:t>организации исполнения бюджета муниципального образования, автоматизации бюджетных процедур, надлежащему исполнению муниципальных долговых обязательств, составлению консолидированной отчетности об исполнении бюджета муниципального образования "Старосахчинское сельское поселение"</w:t>
      </w:r>
      <w:r w:rsidR="00D74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5C2" w:rsidRPr="00D745C2">
        <w:rPr>
          <w:rFonts w:ascii="Times New Roman" w:eastAsia="Times New Roman" w:hAnsi="Times New Roman" w:cs="Times New Roman"/>
          <w:sz w:val="28"/>
          <w:szCs w:val="28"/>
        </w:rPr>
        <w:t>Мелекесского района Ульяновской области.</w:t>
      </w:r>
    </w:p>
    <w:p w:rsidR="00FD4B27" w:rsidRPr="00FD4B27" w:rsidRDefault="00FD4B27" w:rsidP="00FD4B27">
      <w:pPr>
        <w:widowControl w:val="0"/>
        <w:suppressAutoHyphens/>
        <w:spacing w:after="0" w:line="240" w:lineRule="auto"/>
        <w:ind w:firstLine="35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2. Описание приоритетов и целей</w:t>
      </w:r>
    </w:p>
    <w:p w:rsid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социально-экономического развития муниципального образования </w:t>
      </w:r>
      <w:r w:rsidRPr="00FD4B27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«Старосахчинское сельское поселение»Мелекесского района  </w:t>
      </w: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в сфере реализации муниципальной программы</w:t>
      </w:r>
    </w:p>
    <w:p w:rsidR="00D745C2" w:rsidRPr="00FD4B27" w:rsidRDefault="00D745C2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Внедрение и реализация на территории поселения комплексной Программы будет направлена на достижение цели </w:t>
      </w:r>
      <w:r w:rsidR="00D745C2" w:rsidRPr="00D745C2">
        <w:rPr>
          <w:rFonts w:ascii="Times New Roman" w:eastAsia="Times New Roman" w:hAnsi="Times New Roman" w:cs="Times New Roman"/>
          <w:sz w:val="28"/>
          <w:szCs w:val="28"/>
        </w:rPr>
        <w:t>реализации части вопроса местного значения по формированию, исполнению местного бюджета и контролю за исполнением данного бюджета, а также обеспечения исполнения вопроса местного значения по установлению, изменению и отмене местных налогов и сборов</w:t>
      </w:r>
      <w:r w:rsidRPr="00FD4B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3. Сведения о взаимосвязи муниципальной программы</w:t>
      </w: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 национальными целями развития Российской Федерации,</w:t>
      </w: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стратегическими приоритетами, целями и показателями</w:t>
      </w: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государственной программы</w:t>
      </w: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>Ульяновской области</w:t>
      </w: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sz w:val="28"/>
          <w:szCs w:val="28"/>
          <w:lang w:eastAsia="zh-CN"/>
        </w:rPr>
        <w:t>Связь муниципальной программы с государственной программой Ульяновской области не предусмотрена</w:t>
      </w:r>
      <w:r w:rsidR="00D745C2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FD4B27" w:rsidRPr="00FD4B27" w:rsidRDefault="00FD4B27" w:rsidP="00FD4B2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</w:pP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 xml:space="preserve"> Описание задач </w:t>
      </w:r>
      <w:r w:rsidRPr="00FD4B27">
        <w:rPr>
          <w:rFonts w:ascii="PT Astra Serif" w:eastAsia="Times New Roman" w:hAnsi="PT Astra Serif" w:cs="Calibri"/>
          <w:b/>
          <w:sz w:val="28"/>
          <w:szCs w:val="28"/>
          <w:lang w:eastAsia="zh-CN"/>
        </w:rPr>
        <w:t xml:space="preserve">муниципальной программы </w:t>
      </w:r>
      <w:r w:rsidRPr="00FD4B2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«</w:t>
      </w:r>
      <w:r w:rsidR="00D745C2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Управление финансами </w:t>
      </w:r>
      <w:r w:rsidRPr="00FD4B27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муниципально</w:t>
      </w:r>
      <w:r w:rsidR="00D745C2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го</w:t>
      </w:r>
      <w:r w:rsidRPr="00FD4B27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 образовани</w:t>
      </w:r>
      <w:r w:rsidR="00D745C2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>я</w:t>
      </w:r>
      <w:r w:rsidRPr="00FD4B27">
        <w:rPr>
          <w:rFonts w:ascii="PT Astra Serif" w:eastAsia="Times New Roman" w:hAnsi="PT Astra Serif" w:cs="Times New Roman"/>
          <w:b/>
          <w:bCs/>
          <w:color w:val="000000"/>
          <w:sz w:val="28"/>
          <w:lang w:eastAsia="zh-CN"/>
        </w:rPr>
        <w:t xml:space="preserve"> «Старосахчинское сельское поселение»Мелекесского района  Ульяновской области»</w:t>
      </w: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widowControl w:val="0"/>
        <w:suppressAutoHyphens/>
        <w:spacing w:after="0" w:line="240" w:lineRule="auto"/>
        <w:ind w:firstLine="357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</w:pPr>
      <w:r w:rsidRPr="00FD4B2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zh-CN"/>
        </w:rPr>
        <w:t xml:space="preserve">Задачи Программы: </w:t>
      </w:r>
    </w:p>
    <w:p w:rsidR="00FD4B27" w:rsidRPr="00FD4B27" w:rsidRDefault="00FD4B27" w:rsidP="00D745C2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4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45C2" w:rsidRPr="00D745C2">
        <w:rPr>
          <w:rFonts w:ascii="Times New Roman" w:eastAsia="Times New Roman" w:hAnsi="Times New Roman" w:cs="Times New Roman"/>
          <w:sz w:val="28"/>
          <w:szCs w:val="28"/>
        </w:rPr>
        <w:t xml:space="preserve">четкая организация установленных бюджетных процедур, своевременность и полнота подготовки проекта бюджета муниципального образования </w:t>
      </w:r>
      <w:r w:rsidR="00D745C2" w:rsidRPr="00D745C2">
        <w:rPr>
          <w:rFonts w:ascii="Times New Roman" w:hAnsi="Times New Roman" w:cs="Times New Roman"/>
          <w:sz w:val="28"/>
          <w:szCs w:val="28"/>
        </w:rPr>
        <w:t>"Старосахчинское сельское поселение"</w:t>
      </w:r>
      <w:r w:rsidR="00D745C2" w:rsidRPr="00D745C2">
        <w:rPr>
          <w:rFonts w:ascii="Times New Roman" w:eastAsia="Times New Roman" w:hAnsi="Times New Roman" w:cs="Times New Roman"/>
          <w:sz w:val="28"/>
          <w:szCs w:val="28"/>
        </w:rPr>
        <w:t>, упреждающая оценка влияния на его параметры изменений законодательства и социально-экономической ситуации, работа по мобилизации доходов бюджета, обеспечение исполнения бюджета, осуществление контроля за операциями с бюджетными средствами</w:t>
      </w:r>
      <w:r w:rsidR="00D745C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745C2" w:rsidRPr="00D745C2" w:rsidRDefault="00D745C2" w:rsidP="00D745C2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</w:t>
      </w:r>
      <w:r w:rsidRPr="00D745C2">
        <w:rPr>
          <w:rFonts w:ascii="PT Astra Serif" w:eastAsia="Times New Roman" w:hAnsi="PT Astra Serif" w:cs="Times New Roman"/>
          <w:sz w:val="28"/>
          <w:szCs w:val="28"/>
        </w:rPr>
        <w:t xml:space="preserve">овершенствование межбюджетных отношений муниципального образования </w:t>
      </w:r>
      <w:r w:rsidRPr="00D745C2">
        <w:rPr>
          <w:rFonts w:ascii="PT Astra Serif" w:hAnsi="PT Astra Serif" w:cs="Times New Roman"/>
          <w:sz w:val="28"/>
          <w:szCs w:val="28"/>
        </w:rPr>
        <w:t>"Старосахчинское сельское поселение"</w:t>
      </w:r>
      <w:r w:rsidRPr="00D745C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4B27" w:rsidRPr="00FD4B27" w:rsidRDefault="00FD4B27" w:rsidP="00FD4B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D4B27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FD4B27" w:rsidRPr="00FD4B27" w:rsidRDefault="00FD4B27" w:rsidP="00FD4B27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FD4B27" w:rsidRPr="00FD4B2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6"/>
          <w:szCs w:val="26"/>
          <w:lang w:eastAsia="zh-CN"/>
        </w:rPr>
      </w:pPr>
    </w:p>
    <w:p w:rsidR="00FD4B27" w:rsidRPr="00FD4B2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6"/>
          <w:szCs w:val="26"/>
          <w:lang w:eastAsia="zh-CN"/>
        </w:rPr>
      </w:pPr>
    </w:p>
    <w:p w:rsidR="00FD4B27" w:rsidRPr="00FD4B27" w:rsidRDefault="00FD4B27" w:rsidP="00FD4B27">
      <w:pPr>
        <w:suppressAutoHyphens/>
        <w:autoSpaceDE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6"/>
          <w:szCs w:val="26"/>
          <w:lang w:eastAsia="zh-CN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D4B27" w:rsidRPr="00D85D1D" w:rsidRDefault="00FD4B27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81F1C" w:rsidRPr="00D85D1D" w:rsidRDefault="00881F1C" w:rsidP="00881F1C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</w:tblGrid>
      <w:tr w:rsidR="00EA4D9D" w:rsidRPr="00D85D1D" w:rsidTr="009342A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D9D" w:rsidRPr="00D85D1D" w:rsidRDefault="00EA4D9D" w:rsidP="009342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81F1C" w:rsidRPr="00D85D1D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spacing w:after="0"/>
        <w:rPr>
          <w:rFonts w:ascii="PT Astra Serif" w:hAnsi="PT Astra Serif"/>
          <w:sz w:val="24"/>
          <w:szCs w:val="24"/>
        </w:rPr>
      </w:pPr>
    </w:p>
    <w:p w:rsidR="00881F1C" w:rsidRPr="00D85D1D" w:rsidRDefault="00881F1C" w:rsidP="00881F1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85D1D">
        <w:rPr>
          <w:rFonts w:ascii="PT Astra Serif" w:eastAsia="Times New Roman" w:hAnsi="PT Astra Serif" w:cs="Times New Roman"/>
          <w:b/>
          <w:bCs/>
          <w:sz w:val="24"/>
          <w:szCs w:val="24"/>
        </w:rPr>
        <w:t>Муниципальная программа</w:t>
      </w:r>
    </w:p>
    <w:p w:rsidR="00881F1C" w:rsidRPr="00D85D1D" w:rsidRDefault="00881F1C" w:rsidP="00881F1C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85D1D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«Управление финансами муниципального образования </w:t>
      </w:r>
      <w:r w:rsidR="00E34275" w:rsidRPr="00D85D1D">
        <w:rPr>
          <w:rFonts w:ascii="PT Astra Serif" w:eastAsia="Times New Roman" w:hAnsi="PT Astra Serif" w:cs="Times New Roman"/>
          <w:b/>
          <w:bCs/>
          <w:sz w:val="24"/>
          <w:szCs w:val="24"/>
        </w:rPr>
        <w:t>«Старосахчинское сельское поселение» Мелекесского района Ульяновской области</w:t>
      </w: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9261C1">
      <w:pPr>
        <w:rPr>
          <w:rFonts w:ascii="PT Astra Serif" w:hAnsi="PT Astra Serif"/>
          <w:b/>
          <w:sz w:val="24"/>
          <w:szCs w:val="24"/>
        </w:rPr>
      </w:pPr>
    </w:p>
    <w:p w:rsidR="00881F1C" w:rsidRPr="00D85D1D" w:rsidRDefault="00881F1C" w:rsidP="00881F1C">
      <w:pPr>
        <w:jc w:val="center"/>
        <w:rPr>
          <w:rFonts w:ascii="PT Astra Serif" w:hAnsi="PT Astra Serif"/>
          <w:b/>
          <w:sz w:val="24"/>
          <w:szCs w:val="24"/>
        </w:rPr>
      </w:pPr>
    </w:p>
    <w:p w:rsidR="00881F1C" w:rsidRDefault="00881F1C" w:rsidP="00881F1C">
      <w:pPr>
        <w:jc w:val="center"/>
        <w:rPr>
          <w:rFonts w:ascii="PT Astra Serif" w:hAnsi="PT Astra Serif"/>
          <w:sz w:val="24"/>
          <w:szCs w:val="24"/>
        </w:rPr>
      </w:pPr>
      <w:r w:rsidRPr="00D85D1D">
        <w:rPr>
          <w:rFonts w:ascii="PT Astra Serif" w:hAnsi="PT Astra Serif"/>
          <w:sz w:val="24"/>
          <w:szCs w:val="24"/>
        </w:rPr>
        <w:t>202</w:t>
      </w:r>
      <w:r w:rsidR="00FD4B27">
        <w:rPr>
          <w:rFonts w:ascii="PT Astra Serif" w:hAnsi="PT Astra Serif"/>
          <w:sz w:val="24"/>
          <w:szCs w:val="24"/>
        </w:rPr>
        <w:t>5</w:t>
      </w:r>
      <w:r w:rsidRPr="00D85D1D">
        <w:rPr>
          <w:rFonts w:ascii="PT Astra Serif" w:hAnsi="PT Astra Serif"/>
          <w:sz w:val="24"/>
          <w:szCs w:val="24"/>
        </w:rPr>
        <w:t xml:space="preserve"> год</w:t>
      </w:r>
    </w:p>
    <w:p w:rsidR="003C410F" w:rsidRDefault="003C410F" w:rsidP="00881F1C">
      <w:pPr>
        <w:jc w:val="center"/>
        <w:rPr>
          <w:rFonts w:ascii="PT Astra Serif" w:hAnsi="PT Astra Serif"/>
          <w:sz w:val="24"/>
          <w:szCs w:val="24"/>
        </w:rPr>
      </w:pPr>
    </w:p>
    <w:p w:rsidR="003C410F" w:rsidRDefault="003C410F" w:rsidP="00881F1C">
      <w:pPr>
        <w:jc w:val="center"/>
        <w:rPr>
          <w:rFonts w:ascii="PT Astra Serif" w:hAnsi="PT Astra Serif"/>
          <w:sz w:val="24"/>
          <w:szCs w:val="24"/>
        </w:rPr>
      </w:pPr>
    </w:p>
    <w:p w:rsidR="00FB0D08" w:rsidRDefault="00FB0D08" w:rsidP="00881F1C">
      <w:pPr>
        <w:jc w:val="center"/>
        <w:rPr>
          <w:rFonts w:ascii="PT Astra Serif" w:hAnsi="PT Astra Serif"/>
          <w:sz w:val="24"/>
          <w:szCs w:val="24"/>
        </w:rPr>
      </w:pPr>
    </w:p>
    <w:p w:rsidR="00FB0D08" w:rsidRDefault="00FB0D08" w:rsidP="00881F1C">
      <w:pPr>
        <w:jc w:val="center"/>
        <w:rPr>
          <w:rFonts w:ascii="PT Astra Serif" w:hAnsi="PT Astra Serif"/>
          <w:sz w:val="24"/>
          <w:szCs w:val="24"/>
        </w:rPr>
      </w:pPr>
    </w:p>
    <w:p w:rsidR="00213CA1" w:rsidRPr="00D85D1D" w:rsidRDefault="00213CA1" w:rsidP="00213CA1">
      <w:pPr>
        <w:spacing w:before="100" w:beforeAutospacing="1" w:after="100" w:afterAutospacing="1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D85D1D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N 1</w:t>
      </w:r>
    </w:p>
    <w:p w:rsidR="00FD4B27" w:rsidRPr="00FB0D08" w:rsidRDefault="00213CA1" w:rsidP="00FB0D08">
      <w:pPr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D85D1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  <w:r w:rsidRPr="00D85D1D">
        <w:rPr>
          <w:rFonts w:ascii="PT Astra Serif" w:eastAsia="Times New Roman" w:hAnsi="PT Astra Serif" w:cs="Times New Roman"/>
          <w:sz w:val="24"/>
          <w:szCs w:val="24"/>
        </w:rPr>
        <w:br/>
      </w:r>
    </w:p>
    <w:p w:rsidR="00FD4B27" w:rsidRDefault="00FD4B27" w:rsidP="00881F1C">
      <w:pPr>
        <w:jc w:val="center"/>
        <w:rPr>
          <w:rFonts w:ascii="PT Astra Serif" w:hAnsi="PT Astra Serif"/>
          <w:sz w:val="24"/>
          <w:szCs w:val="24"/>
        </w:rPr>
      </w:pPr>
    </w:p>
    <w:p w:rsidR="00FD4B27" w:rsidRPr="00064791" w:rsidRDefault="00FD4B27" w:rsidP="00FD4B27">
      <w:pPr>
        <w:pStyle w:val="ConsPlusTitle0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064791">
        <w:rPr>
          <w:rFonts w:ascii="PT Astra Serif" w:hAnsi="PT Astra Serif" w:cs="PT Astra Serif"/>
          <w:sz w:val="24"/>
          <w:szCs w:val="24"/>
        </w:rPr>
        <w:t>Паспорт муниципальной программы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064791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Управление финансами</w:t>
      </w:r>
      <w:r w:rsidRPr="00064791">
        <w:rPr>
          <w:rFonts w:ascii="PT Astra Serif" w:hAnsi="PT Astra Serif" w:cs="Times New Roman"/>
          <w:sz w:val="24"/>
          <w:szCs w:val="24"/>
        </w:rPr>
        <w:t xml:space="preserve"> муниципально</w:t>
      </w:r>
      <w:r>
        <w:rPr>
          <w:rFonts w:ascii="PT Astra Serif" w:hAnsi="PT Astra Serif" w:cs="Times New Roman"/>
          <w:sz w:val="24"/>
          <w:szCs w:val="24"/>
        </w:rPr>
        <w:t xml:space="preserve">го </w:t>
      </w:r>
      <w:r w:rsidRPr="00064791">
        <w:rPr>
          <w:rFonts w:ascii="PT Astra Serif" w:hAnsi="PT Astra Serif" w:cs="Times New Roman"/>
          <w:sz w:val="24"/>
          <w:szCs w:val="24"/>
        </w:rPr>
        <w:t>образовани</w:t>
      </w:r>
      <w:r>
        <w:rPr>
          <w:rFonts w:ascii="PT Astra Serif" w:hAnsi="PT Astra Serif" w:cs="Times New Roman"/>
          <w:sz w:val="24"/>
          <w:szCs w:val="24"/>
        </w:rPr>
        <w:t>я</w:t>
      </w:r>
      <w:r w:rsidRPr="00064791">
        <w:rPr>
          <w:rFonts w:ascii="PT Astra Serif" w:hAnsi="PT Astra Serif" w:cs="Times New Roman"/>
          <w:sz w:val="24"/>
          <w:szCs w:val="24"/>
        </w:rPr>
        <w:t xml:space="preserve"> «Старосахчинское сельское поселение» Мелекесского района  Ульяновской области</w:t>
      </w:r>
    </w:p>
    <w:p w:rsidR="00FD4B27" w:rsidRPr="00064791" w:rsidRDefault="00FD4B27" w:rsidP="00FD4B2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064791">
        <w:rPr>
          <w:rFonts w:ascii="PT Astra Serif" w:hAnsi="PT Astra Serif" w:cs="PT Astra Serif"/>
          <w:b/>
          <w:bCs/>
        </w:rPr>
        <w:t>(далее по тексту –муниципальная программа)</w:t>
      </w:r>
    </w:p>
    <w:p w:rsidR="00FD4B27" w:rsidRPr="00064791" w:rsidRDefault="00FD4B27" w:rsidP="00FD4B27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5954"/>
      </w:tblGrid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«Старосахчинское сельское поселение»  Мелекесского района Ульяновской области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 Ульяновской области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объема налоговых и неналоговых доходов, поступивших в бюджет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сравнению с годом, предшествующим отчетному;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удельного веса расходов бюджета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54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на финансовое обеспечение реализации муниципальной программы за счет средств бюджета муниципального образования 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Старосахчинское сельское поселение</w:t>
            </w:r>
            <w:r w:rsidR="00213CA1"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местный бюджет) –</w:t>
            </w:r>
            <w:r w:rsidR="00E7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7311</w:t>
            </w:r>
            <w:r w:rsidR="000D3BDA" w:rsidRPr="000D3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705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78898</w:t>
            </w:r>
            <w:r w:rsidR="000D3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D3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2025 год – 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3086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3856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2027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052D">
              <w:rPr>
                <w:rFonts w:ascii="Times New Roman" w:eastAsia="Times New Roman" w:hAnsi="Times New Roman" w:cs="Times New Roman"/>
                <w:sz w:val="24"/>
                <w:szCs w:val="24"/>
              </w:rPr>
              <w:t>86282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2028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1098,79300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2029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1098,79300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2030 год –  </w:t>
            </w:r>
            <w:r w:rsidR="000D3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1098,79300 </w:t>
            </w: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D172CC" w:rsidRPr="00D172CC" w:rsidRDefault="00D172CC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2CC" w:rsidRPr="00D172CC" w:rsidTr="009342A6">
        <w:tc>
          <w:tcPr>
            <w:tcW w:w="4106" w:type="dxa"/>
          </w:tcPr>
          <w:p w:rsidR="00D172CC" w:rsidRPr="00D172CC" w:rsidRDefault="00D172CC" w:rsidP="00D17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954" w:type="dxa"/>
          </w:tcPr>
          <w:p w:rsidR="00D172CC" w:rsidRPr="00D172CC" w:rsidRDefault="00D745C2" w:rsidP="00D1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предусмотрена</w:t>
            </w:r>
          </w:p>
        </w:tc>
      </w:tr>
    </w:tbl>
    <w:p w:rsidR="00FD4B27" w:rsidRDefault="00FD4B27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704FFF" w:rsidRDefault="00704FFF" w:rsidP="00FB7575">
      <w:pPr>
        <w:pStyle w:val="ConsPlusTitle0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13CA1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Приложение № 2 к 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13CA1">
        <w:rPr>
          <w:rFonts w:ascii="Times New Roman" w:eastAsia="Times New Roman" w:hAnsi="Times New Roman" w:cs="Times New Roman"/>
          <w:b/>
          <w:sz w:val="24"/>
          <w:szCs w:val="20"/>
        </w:rPr>
        <w:t xml:space="preserve">муниципальной программе 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P426"/>
      <w:bookmarkEnd w:id="1"/>
      <w:r w:rsidRPr="00213CA1">
        <w:rPr>
          <w:rFonts w:ascii="Times New Roman" w:eastAsia="Times New Roman" w:hAnsi="Times New Roman" w:cs="Times New Roman"/>
          <w:b/>
          <w:sz w:val="24"/>
          <w:szCs w:val="20"/>
        </w:rPr>
        <w:t>ПЕРЕЧЕНЬ ПОКАЗАТЕЛЕЙ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13CA1">
        <w:rPr>
          <w:rFonts w:ascii="Times New Roman" w:eastAsia="Times New Roman" w:hAnsi="Times New Roman" w:cs="Times New Roman"/>
          <w:b/>
          <w:sz w:val="24"/>
          <w:szCs w:val="20"/>
        </w:rPr>
        <w:t xml:space="preserve">муниципальной программы 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13CA1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"Управление финансами муниципального образования "Старосахчинское сельское поселение"Мелекесского района Ульяновской области»</w:t>
      </w:r>
      <w:r w:rsidRPr="00D85D1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13CA1">
        <w:rPr>
          <w:rFonts w:ascii="Times New Roman" w:eastAsia="Times New Roman" w:hAnsi="Times New Roman" w:cs="Times New Roman"/>
          <w:b/>
          <w:sz w:val="24"/>
          <w:szCs w:val="20"/>
        </w:rPr>
        <w:t>(наименование муниципальной программы)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1560"/>
        <w:gridCol w:w="1003"/>
        <w:gridCol w:w="721"/>
        <w:gridCol w:w="904"/>
        <w:gridCol w:w="440"/>
        <w:gridCol w:w="385"/>
        <w:gridCol w:w="384"/>
        <w:gridCol w:w="384"/>
        <w:gridCol w:w="384"/>
        <w:gridCol w:w="385"/>
        <w:gridCol w:w="1593"/>
        <w:gridCol w:w="1336"/>
      </w:tblGrid>
      <w:tr w:rsidR="00213CA1" w:rsidRPr="00213CA1" w:rsidTr="009342A6">
        <w:tc>
          <w:tcPr>
            <w:tcW w:w="533" w:type="dxa"/>
            <w:vMerge w:val="restart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64" w:type="dxa"/>
            <w:vMerge w:val="restart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6" w:type="dxa"/>
            <w:vMerge w:val="restart"/>
          </w:tcPr>
          <w:p w:rsidR="00213CA1" w:rsidRPr="00213CA1" w:rsidRDefault="00213CA1" w:rsidP="00213CA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возрастания (убывания динамики) значения показателя</w:t>
            </w:r>
          </w:p>
        </w:tc>
        <w:tc>
          <w:tcPr>
            <w:tcW w:w="763" w:type="dxa"/>
            <w:vMerge w:val="restart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0">
              <w:r w:rsidRPr="00213CA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(2024г) </w:t>
            </w:r>
          </w:p>
        </w:tc>
        <w:tc>
          <w:tcPr>
            <w:tcW w:w="2468" w:type="dxa"/>
            <w:gridSpan w:val="6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98" w:type="dxa"/>
            <w:vMerge w:val="restart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22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 государственных программ Ульяновской области</w:t>
            </w:r>
          </w:p>
        </w:tc>
      </w:tr>
      <w:tr w:rsidR="00213CA1" w:rsidRPr="00213CA1" w:rsidTr="009342A6">
        <w:trPr>
          <w:cantSplit/>
          <w:trHeight w:val="767"/>
        </w:trPr>
        <w:tc>
          <w:tcPr>
            <w:tcW w:w="533" w:type="dxa"/>
            <w:vMerge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64" w:type="dxa"/>
            <w:vMerge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6" w:type="dxa"/>
            <w:vMerge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3" w:type="dxa"/>
            <w:vMerge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461" w:type="dxa"/>
            <w:textDirection w:val="btL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02" w:type="dxa"/>
            <w:textDirection w:val="btL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01" w:type="dxa"/>
            <w:textDirection w:val="btL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01" w:type="dxa"/>
            <w:textDirection w:val="btL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401" w:type="dxa"/>
            <w:textDirection w:val="btL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402" w:type="dxa"/>
            <w:textDirection w:val="btL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98" w:type="dxa"/>
            <w:vMerge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2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13CA1" w:rsidRPr="00213CA1" w:rsidTr="009342A6">
        <w:tc>
          <w:tcPr>
            <w:tcW w:w="533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1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1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1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2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8" w:type="dxa"/>
            <w:vAlign w:val="center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2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13CA1" w:rsidRPr="00213CA1" w:rsidTr="009342A6">
        <w:tc>
          <w:tcPr>
            <w:tcW w:w="533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40" w:type="dxa"/>
            <w:gridSpan w:val="12"/>
            <w:shd w:val="clear" w:color="auto" w:fill="auto"/>
            <w:vAlign w:val="center"/>
          </w:tcPr>
          <w:p w:rsidR="00213CA1" w:rsidRPr="00213CA1" w:rsidRDefault="00213CA1" w:rsidP="00213CA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A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213CA1" w:rsidRPr="00213CA1" w:rsidTr="009342A6">
        <w:tc>
          <w:tcPr>
            <w:tcW w:w="533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0040" w:type="dxa"/>
            <w:gridSpan w:val="12"/>
            <w:shd w:val="clear" w:color="auto" w:fill="auto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213CA1" w:rsidRPr="00213CA1" w:rsidTr="009342A6">
        <w:trPr>
          <w:cantSplit/>
          <w:trHeight w:val="1134"/>
        </w:trPr>
        <w:tc>
          <w:tcPr>
            <w:tcW w:w="533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64" w:type="dxa"/>
          </w:tcPr>
          <w:p w:rsidR="00213CA1" w:rsidRPr="00213CA1" w:rsidRDefault="00213CA1" w:rsidP="00D80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 роста налоговых и неналоговых доходов, поступивших в бюджет </w:t>
            </w:r>
            <w:r w:rsidR="00D80410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«Старосахчинское сельское поселение»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, по сравнению с годом, предшествующим отчетному</w:t>
            </w:r>
          </w:p>
        </w:tc>
        <w:tc>
          <w:tcPr>
            <w:tcW w:w="1066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3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59" w:type="dxa"/>
            <w:shd w:val="clear" w:color="auto" w:fill="auto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213CA1" w:rsidRPr="000D3BDA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dxa"/>
          </w:tcPr>
          <w:p w:rsidR="00213CA1" w:rsidRPr="000D3BDA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" w:type="dxa"/>
          </w:tcPr>
          <w:p w:rsidR="00213CA1" w:rsidRPr="000D3BDA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dxa"/>
          </w:tcPr>
          <w:p w:rsidR="00213CA1" w:rsidRPr="000D3BDA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dxa"/>
          </w:tcPr>
          <w:p w:rsidR="00213CA1" w:rsidRPr="000D3BDA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2" w:type="dxa"/>
          </w:tcPr>
          <w:p w:rsidR="00213CA1" w:rsidRPr="000D3BDA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98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r w:rsidR="00D80410"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</w:t>
            </w:r>
            <w:r w:rsidR="00D80410">
              <w:rPr>
                <w:rFonts w:ascii="Times New Roman" w:eastAsia="Times New Roman" w:hAnsi="Times New Roman" w:cs="Times New Roman"/>
                <w:sz w:val="20"/>
                <w:szCs w:val="20"/>
              </w:rPr>
              <w:t>«Старосахчинское сельское поселение»Мелекесского района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Ульяновской области</w:t>
            </w:r>
          </w:p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3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213CA1" w:rsidRPr="00213CA1" w:rsidTr="009342A6">
        <w:trPr>
          <w:cantSplit/>
          <w:trHeight w:val="1134"/>
        </w:trPr>
        <w:tc>
          <w:tcPr>
            <w:tcW w:w="533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664" w:type="dxa"/>
          </w:tcPr>
          <w:p w:rsidR="00213CA1" w:rsidRPr="00213CA1" w:rsidRDefault="00213CA1" w:rsidP="00213C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3C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удельного веса расходов бюджета </w:t>
            </w:r>
            <w:r w:rsidR="00D80410">
              <w:rPr>
                <w:rFonts w:ascii="Times New Roman" w:eastAsia="Times New Roman" w:hAnsi="Times New Roman" w:cs="Times New Roman"/>
                <w:sz w:val="20"/>
                <w:szCs w:val="20"/>
              </w:rPr>
              <w:t>МО «Старосахчинское сельское поселение»</w:t>
            </w:r>
            <w:r w:rsidR="00D80410"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13C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предусмотренных муниципальными программами, в общем объеме расходов бюджета по сравнению с годом предшествующим отчетному</w:t>
            </w:r>
          </w:p>
        </w:tc>
        <w:tc>
          <w:tcPr>
            <w:tcW w:w="1066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3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59" w:type="dxa"/>
            <w:shd w:val="clear" w:color="auto" w:fill="auto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2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01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01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01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02" w:type="dxa"/>
          </w:tcPr>
          <w:p w:rsidR="00213CA1" w:rsidRPr="00213CA1" w:rsidRDefault="000D3BDA" w:rsidP="00213C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698" w:type="dxa"/>
          </w:tcPr>
          <w:p w:rsidR="00D80410" w:rsidRPr="00213CA1" w:rsidRDefault="00D80410" w:rsidP="00D80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«Старосахчинское сельское поселение»Мелекесского района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Ульяновской области</w:t>
            </w:r>
          </w:p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213CA1" w:rsidRPr="00213CA1" w:rsidRDefault="00213CA1" w:rsidP="00213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13CA1">
        <w:rPr>
          <w:rFonts w:ascii="Times New Roman" w:eastAsia="Times New Roman" w:hAnsi="Times New Roman" w:cs="Times New Roman"/>
          <w:sz w:val="24"/>
          <w:szCs w:val="20"/>
        </w:rPr>
        <w:t>-------------------------------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P393"/>
      <w:bookmarkEnd w:id="2"/>
      <w:r w:rsidRPr="00213CA1">
        <w:rPr>
          <w:rFonts w:ascii="Times New Roman" w:eastAsia="Times New Roman" w:hAnsi="Times New Roman" w:cs="Times New Roman"/>
          <w:sz w:val="16"/>
          <w:szCs w:val="16"/>
        </w:rPr>
        <w:t>&lt;1&gt;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" w:name="P394"/>
      <w:bookmarkEnd w:id="3"/>
      <w:r w:rsidRPr="00213CA1">
        <w:rPr>
          <w:rFonts w:ascii="Times New Roman" w:eastAsia="Times New Roman" w:hAnsi="Times New Roman" w:cs="Times New Roman"/>
          <w:sz w:val="16"/>
          <w:szCs w:val="16"/>
        </w:rPr>
        <w:t>&lt;2&gt; Указывается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CA1">
        <w:rPr>
          <w:rFonts w:ascii="Times New Roman" w:eastAsia="Times New Roman" w:hAnsi="Times New Roman" w:cs="Times New Roman"/>
          <w:sz w:val="16"/>
          <w:szCs w:val="16"/>
        </w:rPr>
        <w:t>&lt;3&gt;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4" w:name="P396"/>
      <w:bookmarkEnd w:id="4"/>
      <w:r w:rsidRPr="00213CA1">
        <w:rPr>
          <w:rFonts w:ascii="Times New Roman" w:eastAsia="Times New Roman" w:hAnsi="Times New Roman" w:cs="Times New Roman"/>
          <w:sz w:val="16"/>
          <w:szCs w:val="16"/>
        </w:rPr>
        <w:t>&lt;4&gt; Здесь и далее за «N» принимается год начала реализации муниципальной программы.</w:t>
      </w: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3CA1" w:rsidRPr="00213CA1" w:rsidRDefault="00213CA1" w:rsidP="00213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3CA1" w:rsidRPr="00213CA1" w:rsidRDefault="00213CA1" w:rsidP="00213CA1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C3347F" w:rsidRDefault="00C3347F" w:rsidP="00C3347F">
      <w:pPr>
        <w:spacing w:before="100" w:beforeAutospacing="1" w:after="100" w:afterAutospacing="1"/>
        <w:rPr>
          <w:rFonts w:ascii="PT Astra Serif" w:eastAsia="Times New Roman" w:hAnsi="PT Astra Serif" w:cs="Times New Roman"/>
          <w:sz w:val="24"/>
          <w:szCs w:val="24"/>
        </w:rPr>
        <w:sectPr w:rsidR="00C3347F" w:rsidSect="00E82265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13CA1" w:rsidRPr="007F72CD" w:rsidRDefault="00213CA1" w:rsidP="00FB0D08">
      <w:pPr>
        <w:autoSpaceDE w:val="0"/>
        <w:autoSpaceDN w:val="0"/>
        <w:adjustRightInd w:val="0"/>
        <w:spacing w:line="240" w:lineRule="auto"/>
        <w:ind w:left="9498"/>
        <w:jc w:val="center"/>
        <w:outlineLvl w:val="0"/>
        <w:rPr>
          <w:rFonts w:ascii="PT Astra Serif" w:hAnsi="PT Astra Serif" w:cs="PT Astra Serif"/>
          <w:bCs/>
          <w:sz w:val="24"/>
          <w:szCs w:val="24"/>
        </w:rPr>
      </w:pPr>
      <w:r w:rsidRPr="007F72CD">
        <w:rPr>
          <w:rFonts w:ascii="PT Astra Serif" w:hAnsi="PT Astra Serif" w:cs="PT Astra Serif"/>
          <w:bCs/>
          <w:sz w:val="24"/>
          <w:szCs w:val="24"/>
        </w:rPr>
        <w:lastRenderedPageBreak/>
        <w:t>Приложение 3</w:t>
      </w:r>
    </w:p>
    <w:p w:rsidR="00213CA1" w:rsidRPr="007F72CD" w:rsidRDefault="00213CA1" w:rsidP="00FB0D08">
      <w:pPr>
        <w:spacing w:line="240" w:lineRule="auto"/>
        <w:ind w:left="9498"/>
        <w:jc w:val="center"/>
        <w:rPr>
          <w:rFonts w:ascii="PT Astra Serif" w:hAnsi="PT Astra Serif" w:cs="PT Astra Serif"/>
          <w:bCs/>
          <w:sz w:val="24"/>
          <w:szCs w:val="24"/>
        </w:rPr>
      </w:pPr>
      <w:r w:rsidRPr="007F72CD">
        <w:rPr>
          <w:rFonts w:ascii="PT Astra Serif" w:hAnsi="PT Astra Serif" w:cs="PT Astra Serif"/>
          <w:bCs/>
          <w:sz w:val="24"/>
          <w:szCs w:val="24"/>
        </w:rPr>
        <w:t>к муниципальной программе,</w:t>
      </w:r>
    </w:p>
    <w:p w:rsidR="00213CA1" w:rsidRPr="00DC2E8C" w:rsidRDefault="00213CA1" w:rsidP="00213CA1">
      <w:pPr>
        <w:pStyle w:val="ConsPlusNormal0"/>
        <w:jc w:val="both"/>
      </w:pPr>
    </w:p>
    <w:p w:rsidR="00213CA1" w:rsidRPr="00EA4D9D" w:rsidRDefault="00213CA1" w:rsidP="00213CA1">
      <w:pPr>
        <w:pStyle w:val="ConsPlusNormal0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>ФИНАНСОВОЕ ОБЕСПЕЧЕНИЕ</w:t>
      </w:r>
    </w:p>
    <w:p w:rsidR="00213CA1" w:rsidRPr="00EA4D9D" w:rsidRDefault="00213CA1" w:rsidP="00213CA1">
      <w:pPr>
        <w:pStyle w:val="ConsPlusNormal0"/>
        <w:jc w:val="center"/>
        <w:rPr>
          <w:rFonts w:ascii="Times New Roman" w:hAnsi="Times New Roman" w:cs="Times New Roman"/>
          <w:b/>
        </w:rPr>
      </w:pPr>
      <w:r w:rsidRPr="00EA4D9D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213CA1" w:rsidRPr="00EA4D9D" w:rsidRDefault="00D80410" w:rsidP="00213CA1">
      <w:pPr>
        <w:pStyle w:val="ConsPlusNormal0"/>
        <w:jc w:val="center"/>
        <w:rPr>
          <w:rFonts w:ascii="Times New Roman" w:hAnsi="Times New Roman" w:cs="Times New Roman"/>
          <w:b/>
        </w:rPr>
      </w:pPr>
      <w:r w:rsidRPr="00D80410">
        <w:rPr>
          <w:rFonts w:ascii="PT Astra Serif" w:hAnsi="PT Astra Serif" w:cs="Times New Roman"/>
          <w:b/>
          <w:sz w:val="24"/>
          <w:szCs w:val="24"/>
          <w:u w:val="single"/>
        </w:rPr>
        <w:t>Управление финансами муниципального образования "Старосахчинское сельское поселение"Мелекесского района Ульяновской области»</w:t>
      </w:r>
      <w:r w:rsidRPr="00D85D1D">
        <w:rPr>
          <w:rFonts w:ascii="PT Astra Serif" w:hAnsi="PT Astra Serif" w:cs="Times New Roman"/>
          <w:sz w:val="24"/>
          <w:szCs w:val="24"/>
        </w:rPr>
        <w:t xml:space="preserve"> </w:t>
      </w:r>
      <w:r w:rsidR="00213CA1" w:rsidRPr="00EA4D9D">
        <w:rPr>
          <w:rFonts w:ascii="Times New Roman" w:hAnsi="Times New Roman" w:cs="Times New Roman"/>
          <w:b/>
        </w:rPr>
        <w:t>(наименование муниципальной программы)</w:t>
      </w:r>
    </w:p>
    <w:p w:rsidR="00213CA1" w:rsidRPr="00DC2E8C" w:rsidRDefault="00213CA1" w:rsidP="000D3BDA">
      <w:pPr>
        <w:pStyle w:val="ConsPlusNormal0"/>
        <w:jc w:val="both"/>
      </w:pPr>
    </w:p>
    <w:tbl>
      <w:tblPr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1947"/>
        <w:gridCol w:w="1672"/>
        <w:gridCol w:w="146"/>
        <w:gridCol w:w="1868"/>
        <w:gridCol w:w="1417"/>
        <w:gridCol w:w="1138"/>
        <w:gridCol w:w="1130"/>
        <w:gridCol w:w="1134"/>
        <w:gridCol w:w="1134"/>
        <w:gridCol w:w="1134"/>
        <w:gridCol w:w="1134"/>
        <w:gridCol w:w="1264"/>
        <w:gridCol w:w="12"/>
      </w:tblGrid>
      <w:tr w:rsidR="00213CA1" w:rsidRPr="006236FB" w:rsidTr="00FB0D08">
        <w:trPr>
          <w:trHeight w:val="11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13CA1" w:rsidRPr="006236FB" w:rsidTr="00FB0D08">
        <w:trPr>
          <w:trHeight w:val="5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2030</w:t>
            </w:r>
          </w:p>
        </w:tc>
      </w:tr>
      <w:tr w:rsidR="00213CA1" w:rsidRPr="006236FB" w:rsidTr="00FB0D0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B0D08" w:rsidRPr="006236FB" w:rsidTr="00FB0D08">
        <w:trPr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 программа </w:t>
            </w:r>
            <w:r w:rsidRPr="00D80410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Управление финансами муниципального образования "Старосахчинское сельское поселение"Мелекесского района Ульяновской области»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213CA1" w:rsidRDefault="00FB0D08" w:rsidP="00291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поселение»Мелекесского 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  <w:p w:rsidR="00FB0D08" w:rsidRPr="006236FB" w:rsidRDefault="00FB0D08" w:rsidP="00D8041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Всего,                                        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08" w:rsidRPr="00FB0D08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B0D0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6300000000</w:t>
            </w:r>
          </w:p>
          <w:p w:rsidR="00FB0D08" w:rsidRPr="006236FB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7311</w:t>
            </w:r>
            <w:r w:rsidR="00FB0D08"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78898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1267</w:t>
            </w:r>
            <w:r w:rsidR="00FB0D08"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3086</w:t>
            </w:r>
            <w:r w:rsidR="00FB0D08"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348</w:t>
            </w: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,2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399</w:t>
            </w: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 w:rsidR="00E705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86282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280E3D">
            <w:pPr>
              <w:jc w:val="center"/>
              <w:rPr>
                <w:b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280E3D">
            <w:pPr>
              <w:jc w:val="center"/>
              <w:rPr>
                <w:b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280E3D" w:rsidRDefault="00FB0D08" w:rsidP="00280E3D">
            <w:pPr>
              <w:jc w:val="center"/>
              <w:rPr>
                <w:b/>
              </w:rPr>
            </w:pP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1098,79300</w:t>
            </w:r>
          </w:p>
        </w:tc>
      </w:tr>
      <w:tr w:rsidR="00E7052D" w:rsidRPr="006236FB" w:rsidTr="00FB0D08">
        <w:trPr>
          <w:trHeight w:val="12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бюджетные ассигнования бюджета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МО «Старосахчинское сельское поселение»</w:t>
            </w:r>
            <w:r w:rsidRPr="006236F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Мелекесского района Ульяновской области (далее – местный бюджет )</w:t>
            </w:r>
          </w:p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7311</w:t>
            </w:r>
            <w:r w:rsidRPr="00280E3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78898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1267,30860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1348,23856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1399,86282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9342A6">
            <w:pPr>
              <w:jc w:val="center"/>
            </w:pPr>
            <w:r w:rsidRPr="004E68C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9342A6">
            <w:pPr>
              <w:jc w:val="center"/>
            </w:pPr>
            <w:r w:rsidRPr="004E68C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1098,79300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9342A6">
            <w:pPr>
              <w:jc w:val="center"/>
            </w:pPr>
            <w:r w:rsidRPr="004E68C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1098,79300</w:t>
            </w:r>
          </w:p>
        </w:tc>
      </w:tr>
      <w:tr w:rsidR="00213CA1" w:rsidRPr="006236FB" w:rsidTr="00C25940">
        <w:trPr>
          <w:gridAfter w:val="1"/>
          <w:wAfter w:w="12" w:type="dxa"/>
          <w:trHeight w:val="480"/>
        </w:trPr>
        <w:tc>
          <w:tcPr>
            <w:tcW w:w="15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A1" w:rsidRPr="006236FB" w:rsidRDefault="00213CA1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C25940" w:rsidRPr="006236FB" w:rsidTr="00FB0D08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«Обеспечение реализации муниципальной программы»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40" w:rsidRPr="0029147D" w:rsidRDefault="00C25940" w:rsidP="00291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поселение»Мелекесского 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6340100000</w:t>
            </w:r>
            <w:r w:rsidR="00C25940"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40" w:rsidRPr="006236FB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4682,10000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40" w:rsidRPr="00C25940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752,100000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40" w:rsidRPr="00C25940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C25940" w:rsidRPr="006236FB" w:rsidTr="00FB0D08">
        <w:trPr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40" w:rsidRPr="006236FB" w:rsidRDefault="00C25940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Pr="006236FB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4682,10000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Pr="00C25940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752,100000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Pr="00C25940" w:rsidRDefault="00C25940" w:rsidP="00C2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40" w:rsidRDefault="00C25940" w:rsidP="00C25940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FB0D08" w:rsidRPr="006236FB" w:rsidTr="009342A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6236FB" w:rsidRDefault="00FB0D08" w:rsidP="00FB0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Финансовое о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беспечение деятельности органов местного самоуправления муниципального образования "</w:t>
            </w:r>
            <w:r w:rsidRPr="00D80410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B0D08">
              <w:rPr>
                <w:rFonts w:ascii="PT Astra Serif" w:eastAsia="Times New Roman" w:hAnsi="PT Astra Serif" w:cs="Times New Roman"/>
                <w:sz w:val="18"/>
                <w:szCs w:val="18"/>
              </w:rPr>
              <w:t>Старосахчинское сельское поселение"Мелекесского района Ульяновской области»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D08" w:rsidRPr="006236FB" w:rsidRDefault="00FB0D08" w:rsidP="0029147D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6340180010</w:t>
            </w:r>
            <w:r w:rsidR="00FB0D08"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4682,10000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08" w:rsidRPr="00C25940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752,100000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08" w:rsidRPr="00C25940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FB0D08" w:rsidRPr="006236FB" w:rsidTr="009342A6">
        <w:trPr>
          <w:trHeight w:val="21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6236FB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4682,10000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C25940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C2594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752,100000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Pr="00C25940" w:rsidRDefault="00FB0D08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08" w:rsidRDefault="00FB0D08" w:rsidP="009342A6">
            <w:pPr>
              <w:jc w:val="center"/>
            </w:pPr>
            <w:r w:rsidRPr="005759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786,00000</w:t>
            </w:r>
          </w:p>
        </w:tc>
      </w:tr>
      <w:tr w:rsidR="00E7052D" w:rsidRPr="006236FB" w:rsidTr="005F3A2D">
        <w:trPr>
          <w:trHeight w:val="20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</w:t>
            </w:r>
            <w:r w:rsidRPr="005F3A2D">
              <w:rPr>
                <w:rFonts w:ascii="PT Astra Serif" w:eastAsia="Times New Roman" w:hAnsi="PT Astra Serif" w:cs="Times New Roman"/>
                <w:sz w:val="18"/>
                <w:szCs w:val="18"/>
              </w:rPr>
              <w:t>Совершенствование системы межбюджетных отношений муниципального образования "Старосахчинское сельское поселение»Мелекесского района Ульяновской области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2D" w:rsidRPr="006236FB" w:rsidRDefault="00E7052D" w:rsidP="009342A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2D" w:rsidRPr="006236FB" w:rsidRDefault="00E705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52D" w:rsidRPr="006236FB" w:rsidRDefault="00E705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6340200000</w:t>
            </w:r>
          </w:p>
          <w:p w:rsidR="00E7052D" w:rsidRPr="006236FB" w:rsidRDefault="00E705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7052D" w:rsidRPr="006236FB" w:rsidRDefault="00E705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6236FB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2629,68898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515,20860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562,23856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Pr="00E7052D" w:rsidRDefault="00E7052D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0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613,86282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280E3D">
            <w:pPr>
              <w:jc w:val="center"/>
            </w:pPr>
            <w:r w:rsidRPr="00D32E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280E3D">
            <w:pPr>
              <w:jc w:val="center"/>
            </w:pPr>
            <w:r w:rsidRPr="00D32E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52D" w:rsidRDefault="00E7052D" w:rsidP="00280E3D">
            <w:pPr>
              <w:jc w:val="center"/>
            </w:pPr>
            <w:r w:rsidRPr="00D32E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312,79300</w:t>
            </w:r>
          </w:p>
        </w:tc>
      </w:tr>
      <w:tr w:rsidR="005F3A2D" w:rsidRPr="006236FB" w:rsidTr="009342A6">
        <w:trPr>
          <w:trHeight w:val="6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местный бюджет </w:t>
            </w:r>
          </w:p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2629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68898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515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2086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562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613</w:t>
            </w:r>
            <w:r w:rsidR="005F3A2D"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86282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5F3A2D" w:rsidP="009342A6">
            <w:pPr>
              <w:jc w:val="center"/>
            </w:pPr>
            <w:r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5F3A2D" w:rsidP="009342A6">
            <w:pPr>
              <w:jc w:val="center"/>
            </w:pPr>
            <w:r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312,79300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2D" w:rsidRPr="00280E3D" w:rsidRDefault="005F3A2D" w:rsidP="009342A6">
            <w:pPr>
              <w:jc w:val="center"/>
            </w:pPr>
            <w:r w:rsidRPr="00280E3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312,79300</w:t>
            </w:r>
          </w:p>
        </w:tc>
      </w:tr>
      <w:tr w:rsidR="005F3A2D" w:rsidRPr="006236FB" w:rsidTr="009342A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Осуществление переданных полномочий с поселений на уровень муниципального района в сфере </w:t>
            </w: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внутреннего финансового контроля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A2D" w:rsidRPr="006236FB" w:rsidRDefault="005F3A2D" w:rsidP="009342A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овской области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76,50000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</w:tr>
      <w:tr w:rsidR="005F3A2D" w:rsidRPr="006236FB" w:rsidTr="009342A6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76,50000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13,00000</w:t>
            </w:r>
          </w:p>
        </w:tc>
      </w:tr>
      <w:tr w:rsidR="005F3A2D" w:rsidRPr="006236FB" w:rsidTr="005F3A2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6340261115</w:t>
            </w:r>
          </w:p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157,11700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24,67900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25,66600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</w:tr>
      <w:tr w:rsidR="005F3A2D" w:rsidRPr="006236FB" w:rsidTr="009342A6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157,11700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24,67900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25,66600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58736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26,69300</w:t>
            </w:r>
          </w:p>
        </w:tc>
      </w:tr>
      <w:tr w:rsidR="005F3A2D" w:rsidRPr="006236FB" w:rsidTr="009342A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0A39C7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</w:tr>
      <w:tr w:rsidR="005F3A2D" w:rsidRPr="006236FB" w:rsidTr="009342A6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A39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4529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7,50000</w:t>
            </w:r>
          </w:p>
        </w:tc>
      </w:tr>
      <w:tr w:rsidR="005F3A2D" w:rsidRPr="006236FB" w:rsidTr="005F3A2D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FC0E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0E0B">
              <w:rPr>
                <w:rFonts w:ascii="PT Astra Serif" w:eastAsia="Calibri" w:hAnsi="PT Astra Serif" w:cs="Times New Roman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2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6340261120</w:t>
            </w:r>
          </w:p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8F3C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3C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0A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0A39C7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</w:tr>
      <w:tr w:rsidR="005F3A2D" w:rsidRPr="006236FB" w:rsidTr="009342A6">
        <w:trPr>
          <w:trHeight w:val="69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8F3C0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3C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93,60000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0C499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15,60000</w:t>
            </w:r>
          </w:p>
        </w:tc>
      </w:tr>
      <w:tr w:rsidR="006365A2" w:rsidRPr="006236FB" w:rsidTr="009342A6">
        <w:trPr>
          <w:trHeight w:val="195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A2" w:rsidRPr="006236FB" w:rsidRDefault="006365A2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A2" w:rsidRPr="008F3C0B" w:rsidRDefault="006365A2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3C0B">
              <w:rPr>
                <w:rFonts w:ascii="PT Astra Serif" w:eastAsia="Calibri" w:hAnsi="PT Astra Serif" w:cs="Times New Roman"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5A2" w:rsidRPr="006236FB" w:rsidRDefault="006365A2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</w:t>
            </w:r>
            <w:r w:rsidRPr="00FC0E0B">
              <w:rPr>
                <w:rFonts w:ascii="Times New Roman" w:eastAsia="Times New Roman" w:hAnsi="Times New Roman" w:cs="Times New Roman"/>
                <w:sz w:val="18"/>
                <w:szCs w:val="18"/>
              </w:rPr>
              <w:t>ый отдел</w:t>
            </w:r>
            <w:r w:rsidRPr="00213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147D">
              <w:rPr>
                <w:rFonts w:ascii="Times New Roman" w:eastAsia="Times New Roman" w:hAnsi="Times New Roman" w:cs="Times New Roman"/>
                <w:sz w:val="18"/>
                <w:szCs w:val="18"/>
              </w:rPr>
              <w:t>«Старосахчинское сельское поселение»Мелекесскограйона</w:t>
            </w:r>
            <w:r w:rsidRPr="00213CA1">
              <w:rPr>
                <w:rFonts w:ascii="Times New Roman" w:eastAsia="Times New Roman" w:hAnsi="Times New Roman" w:cs="Times New Roman"/>
                <w:sz w:val="18"/>
                <w:szCs w:val="18"/>
              </w:rPr>
              <w:t>Ульяновской области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2" w:rsidRPr="006236FB" w:rsidRDefault="006365A2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A2" w:rsidRPr="006236FB" w:rsidRDefault="006365A2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6340260125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Pr="008F3C0B" w:rsidRDefault="006365A2" w:rsidP="00636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2257,47198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C6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455,42960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Pr="000C4992" w:rsidRDefault="006365A2" w:rsidP="00C61AE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500,97256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C61AE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551</w:t>
            </w: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8F3C0B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8F3C0B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A2" w:rsidRDefault="006365A2" w:rsidP="008F3C0B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</w:tr>
      <w:tr w:rsidR="005F3A2D" w:rsidRPr="006236FB" w:rsidTr="005F3A2D">
        <w:trPr>
          <w:trHeight w:val="97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Default="005F3A2D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8F3C0B" w:rsidRDefault="005F3A2D" w:rsidP="009342A6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A2D" w:rsidRPr="00213CA1" w:rsidRDefault="005F3A2D" w:rsidP="0093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36F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местный бюджет </w:t>
            </w:r>
          </w:p>
          <w:p w:rsidR="005F3A2D" w:rsidRPr="006236FB" w:rsidRDefault="005F3A2D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2D" w:rsidRPr="006236FB" w:rsidRDefault="005F3A2D" w:rsidP="005F3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Pr="008F3C0B" w:rsidRDefault="006365A2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2257,47198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E7052D" w:rsidP="00E70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455</w:t>
            </w:r>
            <w:r w:rsidR="005F3A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4296</w:t>
            </w:r>
            <w:r w:rsidR="005F3A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Pr="000C4992" w:rsidRDefault="00E7052D" w:rsidP="00E705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  <w:r w:rsidR="005F3A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97256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E7052D" w:rsidP="00E7052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551</w:t>
            </w:r>
            <w:r w:rsidR="005F3A2D"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3A2D" w:rsidRDefault="005F3A2D" w:rsidP="009342A6">
            <w:pPr>
              <w:jc w:val="center"/>
            </w:pPr>
            <w:r w:rsidRPr="00A574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250,00000</w:t>
            </w:r>
          </w:p>
        </w:tc>
      </w:tr>
      <w:tr w:rsidR="008F3C0B" w:rsidRPr="006236FB" w:rsidTr="00FB0D08">
        <w:trPr>
          <w:trHeight w:val="97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0B" w:rsidRDefault="008F3C0B" w:rsidP="009342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0B" w:rsidRPr="008F3C0B" w:rsidRDefault="008F3C0B" w:rsidP="009342A6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0B" w:rsidRPr="00213CA1" w:rsidRDefault="008F3C0B" w:rsidP="0093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0B" w:rsidRPr="006236F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0B" w:rsidRPr="006236F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8F3C0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Default="008F3C0B" w:rsidP="0093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0B" w:rsidRPr="000C4992" w:rsidRDefault="008F3C0B" w:rsidP="009342A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13CA1" w:rsidRPr="006236FB" w:rsidRDefault="00213CA1" w:rsidP="00213CA1">
      <w:pPr>
        <w:rPr>
          <w:sz w:val="18"/>
          <w:szCs w:val="18"/>
        </w:rPr>
      </w:pPr>
    </w:p>
    <w:p w:rsidR="00213CA1" w:rsidRDefault="00213CA1" w:rsidP="00213CA1"/>
    <w:p w:rsidR="00C3347F" w:rsidRDefault="00C3347F" w:rsidP="00C3347F">
      <w:pPr>
        <w:jc w:val="right"/>
      </w:pPr>
    </w:p>
    <w:sectPr w:rsidR="00C3347F" w:rsidSect="00C3347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8B" w:rsidRDefault="004B7D8B" w:rsidP="00CE1F17">
      <w:pPr>
        <w:spacing w:after="0" w:line="240" w:lineRule="auto"/>
      </w:pPr>
      <w:r>
        <w:separator/>
      </w:r>
    </w:p>
  </w:endnote>
  <w:endnote w:type="continuationSeparator" w:id="0">
    <w:p w:rsidR="004B7D8B" w:rsidRDefault="004B7D8B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8B" w:rsidRDefault="004B7D8B" w:rsidP="00CE1F17">
      <w:pPr>
        <w:spacing w:after="0" w:line="240" w:lineRule="auto"/>
      </w:pPr>
      <w:r>
        <w:separator/>
      </w:r>
    </w:p>
  </w:footnote>
  <w:footnote w:type="continuationSeparator" w:id="0">
    <w:p w:rsidR="004B7D8B" w:rsidRDefault="004B7D8B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90" w:rsidRDefault="00926C90">
    <w:pPr>
      <w:pStyle w:val="aa"/>
      <w:jc w:val="center"/>
    </w:pPr>
  </w:p>
  <w:p w:rsidR="00926C90" w:rsidRDefault="00926C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229B2"/>
    <w:rsid w:val="00027D81"/>
    <w:rsid w:val="0003038E"/>
    <w:rsid w:val="000375CF"/>
    <w:rsid w:val="000417BD"/>
    <w:rsid w:val="0004227D"/>
    <w:rsid w:val="00042382"/>
    <w:rsid w:val="00042B91"/>
    <w:rsid w:val="00046901"/>
    <w:rsid w:val="00055768"/>
    <w:rsid w:val="0006490D"/>
    <w:rsid w:val="00067A34"/>
    <w:rsid w:val="000744C1"/>
    <w:rsid w:val="0007472F"/>
    <w:rsid w:val="00085A51"/>
    <w:rsid w:val="000861DB"/>
    <w:rsid w:val="00094EB7"/>
    <w:rsid w:val="0009738C"/>
    <w:rsid w:val="000A0EC3"/>
    <w:rsid w:val="000A39C7"/>
    <w:rsid w:val="000A4760"/>
    <w:rsid w:val="000B2E53"/>
    <w:rsid w:val="000C4532"/>
    <w:rsid w:val="000C4673"/>
    <w:rsid w:val="000D1106"/>
    <w:rsid w:val="000D3BDA"/>
    <w:rsid w:val="000D5F93"/>
    <w:rsid w:val="000E2565"/>
    <w:rsid w:val="000E7C1C"/>
    <w:rsid w:val="000F33EA"/>
    <w:rsid w:val="001118DA"/>
    <w:rsid w:val="00117662"/>
    <w:rsid w:val="00137A84"/>
    <w:rsid w:val="00155354"/>
    <w:rsid w:val="00161398"/>
    <w:rsid w:val="001664F1"/>
    <w:rsid w:val="00166DB9"/>
    <w:rsid w:val="00170A0D"/>
    <w:rsid w:val="00173847"/>
    <w:rsid w:val="00175D89"/>
    <w:rsid w:val="00186833"/>
    <w:rsid w:val="001A21BB"/>
    <w:rsid w:val="001A3C03"/>
    <w:rsid w:val="001B27A6"/>
    <w:rsid w:val="001D4312"/>
    <w:rsid w:val="001E0F92"/>
    <w:rsid w:val="001E71C8"/>
    <w:rsid w:val="001F018C"/>
    <w:rsid w:val="0020370E"/>
    <w:rsid w:val="00205B1B"/>
    <w:rsid w:val="00213CA1"/>
    <w:rsid w:val="00223D4D"/>
    <w:rsid w:val="002356A6"/>
    <w:rsid w:val="00243FD2"/>
    <w:rsid w:val="002544A2"/>
    <w:rsid w:val="00261547"/>
    <w:rsid w:val="00275833"/>
    <w:rsid w:val="00280E3D"/>
    <w:rsid w:val="0029147D"/>
    <w:rsid w:val="00295B58"/>
    <w:rsid w:val="002A25FD"/>
    <w:rsid w:val="002B1153"/>
    <w:rsid w:val="002C11C0"/>
    <w:rsid w:val="002C3E02"/>
    <w:rsid w:val="002D2697"/>
    <w:rsid w:val="002D553E"/>
    <w:rsid w:val="002D7298"/>
    <w:rsid w:val="002D7624"/>
    <w:rsid w:val="002F30A5"/>
    <w:rsid w:val="003042B8"/>
    <w:rsid w:val="00307A2B"/>
    <w:rsid w:val="00316B83"/>
    <w:rsid w:val="00340FFE"/>
    <w:rsid w:val="00347C15"/>
    <w:rsid w:val="003549F3"/>
    <w:rsid w:val="00366E91"/>
    <w:rsid w:val="00367E51"/>
    <w:rsid w:val="00373399"/>
    <w:rsid w:val="003875F4"/>
    <w:rsid w:val="00393896"/>
    <w:rsid w:val="003A314D"/>
    <w:rsid w:val="003A4CA5"/>
    <w:rsid w:val="003C08F8"/>
    <w:rsid w:val="003C410F"/>
    <w:rsid w:val="003E035D"/>
    <w:rsid w:val="0040034C"/>
    <w:rsid w:val="0040201D"/>
    <w:rsid w:val="00406103"/>
    <w:rsid w:val="004239C6"/>
    <w:rsid w:val="004337CB"/>
    <w:rsid w:val="00447101"/>
    <w:rsid w:val="00452A00"/>
    <w:rsid w:val="0045300E"/>
    <w:rsid w:val="00456B8A"/>
    <w:rsid w:val="00481BDD"/>
    <w:rsid w:val="004823F3"/>
    <w:rsid w:val="004A7330"/>
    <w:rsid w:val="004B63FB"/>
    <w:rsid w:val="004B7906"/>
    <w:rsid w:val="004B7D8B"/>
    <w:rsid w:val="004C3598"/>
    <w:rsid w:val="004C5AFF"/>
    <w:rsid w:val="004D35DA"/>
    <w:rsid w:val="004D4FFC"/>
    <w:rsid w:val="004F2033"/>
    <w:rsid w:val="004F4091"/>
    <w:rsid w:val="00501B33"/>
    <w:rsid w:val="00506ED7"/>
    <w:rsid w:val="005108F6"/>
    <w:rsid w:val="00516201"/>
    <w:rsid w:val="00533EF2"/>
    <w:rsid w:val="00541832"/>
    <w:rsid w:val="005425A4"/>
    <w:rsid w:val="005458B6"/>
    <w:rsid w:val="00563D00"/>
    <w:rsid w:val="00564522"/>
    <w:rsid w:val="00565D8E"/>
    <w:rsid w:val="00566950"/>
    <w:rsid w:val="0057509C"/>
    <w:rsid w:val="00586FB7"/>
    <w:rsid w:val="005A28E7"/>
    <w:rsid w:val="005B66D7"/>
    <w:rsid w:val="005C5CA5"/>
    <w:rsid w:val="005C7324"/>
    <w:rsid w:val="005D2875"/>
    <w:rsid w:val="005D5F96"/>
    <w:rsid w:val="005E64BD"/>
    <w:rsid w:val="005F0C1A"/>
    <w:rsid w:val="005F3A2D"/>
    <w:rsid w:val="00601D36"/>
    <w:rsid w:val="00620197"/>
    <w:rsid w:val="00622381"/>
    <w:rsid w:val="00622F25"/>
    <w:rsid w:val="00625265"/>
    <w:rsid w:val="00626878"/>
    <w:rsid w:val="00633BD0"/>
    <w:rsid w:val="006365A2"/>
    <w:rsid w:val="006436D8"/>
    <w:rsid w:val="00671165"/>
    <w:rsid w:val="006907E3"/>
    <w:rsid w:val="00690960"/>
    <w:rsid w:val="00692EF8"/>
    <w:rsid w:val="006A3993"/>
    <w:rsid w:val="006B211F"/>
    <w:rsid w:val="006B5B8A"/>
    <w:rsid w:val="006E0C47"/>
    <w:rsid w:val="007019ED"/>
    <w:rsid w:val="00704FFF"/>
    <w:rsid w:val="007120B6"/>
    <w:rsid w:val="0072371F"/>
    <w:rsid w:val="00750719"/>
    <w:rsid w:val="00761F7E"/>
    <w:rsid w:val="00765051"/>
    <w:rsid w:val="00767383"/>
    <w:rsid w:val="00774D1B"/>
    <w:rsid w:val="007768E7"/>
    <w:rsid w:val="00787161"/>
    <w:rsid w:val="007C566C"/>
    <w:rsid w:val="007D07B3"/>
    <w:rsid w:val="007D2D72"/>
    <w:rsid w:val="007D2DEE"/>
    <w:rsid w:val="00804F0E"/>
    <w:rsid w:val="00817E29"/>
    <w:rsid w:val="00825562"/>
    <w:rsid w:val="008372D4"/>
    <w:rsid w:val="00842DC0"/>
    <w:rsid w:val="0084350E"/>
    <w:rsid w:val="00847937"/>
    <w:rsid w:val="008551A1"/>
    <w:rsid w:val="00861AD9"/>
    <w:rsid w:val="008721EE"/>
    <w:rsid w:val="00874337"/>
    <w:rsid w:val="00877D01"/>
    <w:rsid w:val="00881F1C"/>
    <w:rsid w:val="00886067"/>
    <w:rsid w:val="00891184"/>
    <w:rsid w:val="00894BE3"/>
    <w:rsid w:val="008A6AF2"/>
    <w:rsid w:val="008B23AA"/>
    <w:rsid w:val="008D3540"/>
    <w:rsid w:val="008D6B33"/>
    <w:rsid w:val="008D756F"/>
    <w:rsid w:val="008F3C0B"/>
    <w:rsid w:val="00903120"/>
    <w:rsid w:val="00912A0C"/>
    <w:rsid w:val="009261C1"/>
    <w:rsid w:val="00926B48"/>
    <w:rsid w:val="00926C90"/>
    <w:rsid w:val="009342A6"/>
    <w:rsid w:val="0093654E"/>
    <w:rsid w:val="00936CFC"/>
    <w:rsid w:val="0094070F"/>
    <w:rsid w:val="00952269"/>
    <w:rsid w:val="00957139"/>
    <w:rsid w:val="009709CE"/>
    <w:rsid w:val="00973C1B"/>
    <w:rsid w:val="009A60B7"/>
    <w:rsid w:val="009A7125"/>
    <w:rsid w:val="009B3D3F"/>
    <w:rsid w:val="009C52FD"/>
    <w:rsid w:val="009C5BBF"/>
    <w:rsid w:val="009E0E20"/>
    <w:rsid w:val="00A008E3"/>
    <w:rsid w:val="00A104CD"/>
    <w:rsid w:val="00A15952"/>
    <w:rsid w:val="00A21C3A"/>
    <w:rsid w:val="00A35A21"/>
    <w:rsid w:val="00A401A7"/>
    <w:rsid w:val="00A4500E"/>
    <w:rsid w:val="00A50CFE"/>
    <w:rsid w:val="00A52D3E"/>
    <w:rsid w:val="00A573C4"/>
    <w:rsid w:val="00A646A7"/>
    <w:rsid w:val="00A65841"/>
    <w:rsid w:val="00A70439"/>
    <w:rsid w:val="00A7270B"/>
    <w:rsid w:val="00A74907"/>
    <w:rsid w:val="00A774E5"/>
    <w:rsid w:val="00A9269B"/>
    <w:rsid w:val="00AA3912"/>
    <w:rsid w:val="00AB1015"/>
    <w:rsid w:val="00AC75A8"/>
    <w:rsid w:val="00AD1EE2"/>
    <w:rsid w:val="00AE0D1D"/>
    <w:rsid w:val="00B00B8A"/>
    <w:rsid w:val="00B104ED"/>
    <w:rsid w:val="00B13DF7"/>
    <w:rsid w:val="00B13E7B"/>
    <w:rsid w:val="00B36674"/>
    <w:rsid w:val="00B42676"/>
    <w:rsid w:val="00B56B5B"/>
    <w:rsid w:val="00B573A3"/>
    <w:rsid w:val="00B624C7"/>
    <w:rsid w:val="00B718B2"/>
    <w:rsid w:val="00B73434"/>
    <w:rsid w:val="00BA01C4"/>
    <w:rsid w:val="00BA66FA"/>
    <w:rsid w:val="00BB3937"/>
    <w:rsid w:val="00BB4D52"/>
    <w:rsid w:val="00BD46D0"/>
    <w:rsid w:val="00BD7E5A"/>
    <w:rsid w:val="00BD7FFB"/>
    <w:rsid w:val="00BE43D1"/>
    <w:rsid w:val="00C0561B"/>
    <w:rsid w:val="00C139AC"/>
    <w:rsid w:val="00C25618"/>
    <w:rsid w:val="00C25940"/>
    <w:rsid w:val="00C26540"/>
    <w:rsid w:val="00C3347F"/>
    <w:rsid w:val="00C54217"/>
    <w:rsid w:val="00C546CE"/>
    <w:rsid w:val="00C552B3"/>
    <w:rsid w:val="00C60C00"/>
    <w:rsid w:val="00C655A6"/>
    <w:rsid w:val="00C71F21"/>
    <w:rsid w:val="00C73F2F"/>
    <w:rsid w:val="00C9370A"/>
    <w:rsid w:val="00C9391B"/>
    <w:rsid w:val="00C94D73"/>
    <w:rsid w:val="00C96082"/>
    <w:rsid w:val="00CB43E6"/>
    <w:rsid w:val="00CB467A"/>
    <w:rsid w:val="00CD4791"/>
    <w:rsid w:val="00CE1F17"/>
    <w:rsid w:val="00CE6109"/>
    <w:rsid w:val="00CF52BD"/>
    <w:rsid w:val="00D10521"/>
    <w:rsid w:val="00D16AF9"/>
    <w:rsid w:val="00D172CC"/>
    <w:rsid w:val="00D22FEC"/>
    <w:rsid w:val="00D34260"/>
    <w:rsid w:val="00D43F01"/>
    <w:rsid w:val="00D57B8A"/>
    <w:rsid w:val="00D638F7"/>
    <w:rsid w:val="00D65FB6"/>
    <w:rsid w:val="00D745C2"/>
    <w:rsid w:val="00D752BE"/>
    <w:rsid w:val="00D75436"/>
    <w:rsid w:val="00D80410"/>
    <w:rsid w:val="00D80799"/>
    <w:rsid w:val="00D82ED1"/>
    <w:rsid w:val="00D82F77"/>
    <w:rsid w:val="00D85D1D"/>
    <w:rsid w:val="00DB2BD2"/>
    <w:rsid w:val="00DB6984"/>
    <w:rsid w:val="00DD20AD"/>
    <w:rsid w:val="00DD3C3D"/>
    <w:rsid w:val="00DD64AE"/>
    <w:rsid w:val="00DD7461"/>
    <w:rsid w:val="00DE2EF6"/>
    <w:rsid w:val="00DF35D9"/>
    <w:rsid w:val="00DF5854"/>
    <w:rsid w:val="00E158FF"/>
    <w:rsid w:val="00E328F6"/>
    <w:rsid w:val="00E34275"/>
    <w:rsid w:val="00E35F4D"/>
    <w:rsid w:val="00E44AA8"/>
    <w:rsid w:val="00E64966"/>
    <w:rsid w:val="00E64A65"/>
    <w:rsid w:val="00E65A62"/>
    <w:rsid w:val="00E7052D"/>
    <w:rsid w:val="00E74B2C"/>
    <w:rsid w:val="00E75BC4"/>
    <w:rsid w:val="00E80427"/>
    <w:rsid w:val="00E82265"/>
    <w:rsid w:val="00E875B5"/>
    <w:rsid w:val="00EA0353"/>
    <w:rsid w:val="00EA4495"/>
    <w:rsid w:val="00EA4D9D"/>
    <w:rsid w:val="00EA6F38"/>
    <w:rsid w:val="00EC0280"/>
    <w:rsid w:val="00ED006C"/>
    <w:rsid w:val="00ED23BE"/>
    <w:rsid w:val="00EE7CF8"/>
    <w:rsid w:val="00F01030"/>
    <w:rsid w:val="00F0198C"/>
    <w:rsid w:val="00F07BA9"/>
    <w:rsid w:val="00F11B5F"/>
    <w:rsid w:val="00F16B2D"/>
    <w:rsid w:val="00F2119E"/>
    <w:rsid w:val="00F35046"/>
    <w:rsid w:val="00F42432"/>
    <w:rsid w:val="00F432DE"/>
    <w:rsid w:val="00F62CDD"/>
    <w:rsid w:val="00F8164E"/>
    <w:rsid w:val="00F90D54"/>
    <w:rsid w:val="00F97463"/>
    <w:rsid w:val="00FA0EB3"/>
    <w:rsid w:val="00FA2677"/>
    <w:rsid w:val="00FA42E5"/>
    <w:rsid w:val="00FB0D08"/>
    <w:rsid w:val="00FB4692"/>
    <w:rsid w:val="00FB7575"/>
    <w:rsid w:val="00FC0E0B"/>
    <w:rsid w:val="00FC2585"/>
    <w:rsid w:val="00FD4B27"/>
    <w:rsid w:val="00FD5D8F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34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link w:val="ConsPlusNormal1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1">
    <w:name w:val="ConsPlusNormal Знак"/>
    <w:link w:val="ConsPlusNormal0"/>
    <w:locked/>
    <w:rsid w:val="00213CA1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7555A6BD7DBCCB6E893FC2317CFB9D66049724BD6599E2F6D4C10C369B52C64172DA4EF538573A422E970A1Dc1g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2583EED948C4AB48AC7A8E360050330D99449F3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D967-2220-48AA-8A22-EC112922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14031</CharactersWithSpaces>
  <SharedDoc>false</SharedDoc>
  <HLinks>
    <vt:vector size="12" baseType="variant"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consultantplus://offline/ref=577555A6BD7DBCCB6E893FC2317CFB9D66049724BD6599E2F6D4C10C369B52C64172DA4EF538573A422E970A1Dc1g1J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consultantplus://offline/ref=05FF3FB90F2EC241D67879D808A48BD239CA60C392B522AB72583EED948C4AB48AC7A8E360050330D99449F3D9295A3F9DCB9D2B035DABA22EED3BEDw9M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cp:lastPrinted>2023-02-01T06:52:00Z</cp:lastPrinted>
  <dcterms:created xsi:type="dcterms:W3CDTF">2024-12-26T05:31:00Z</dcterms:created>
  <dcterms:modified xsi:type="dcterms:W3CDTF">2024-12-26T05:31:00Z</dcterms:modified>
</cp:coreProperties>
</file>