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3D" w:rsidRPr="00DC2E8C" w:rsidRDefault="00DA103D" w:rsidP="00DA103D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DA103D" w:rsidRPr="00DC2E8C" w:rsidRDefault="00DA103D" w:rsidP="00DA103D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  <w:r w:rsidR="00B2248E">
        <w:rPr>
          <w:b/>
        </w:rPr>
        <w:t>1 квартал 2025 года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A103D">
        <w:rPr>
          <w:rFonts w:ascii="PT Astra Serif" w:hAnsi="PT Astra Serif"/>
          <w:b/>
          <w:kern w:val="3"/>
          <w:szCs w:val="24"/>
        </w:rPr>
        <w:t>«Благоустройство территории муниципального образования «Старосахчинское сельское поселение» Мелекесского района Ульяновской области»</w:t>
      </w:r>
      <w:r w:rsidRPr="00DC2E8C">
        <w:rPr>
          <w:b/>
        </w:rPr>
        <w:t xml:space="preserve"> (наименование муниципальной программы)</w:t>
      </w:r>
    </w:p>
    <w:p w:rsidR="00DA103D" w:rsidRPr="007769AC" w:rsidRDefault="00DA103D" w:rsidP="00DA103D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DA103D" w:rsidRPr="00DC2E8C" w:rsidRDefault="00DA103D" w:rsidP="00DA103D">
      <w:pPr>
        <w:pStyle w:val="ConsPlusNormal"/>
        <w:jc w:val="both"/>
      </w:pP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  <w:r w:rsidR="00B2248E">
        <w:rPr>
          <w:b/>
        </w:rPr>
        <w:t>1 квартал 2025 года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DA103D" w:rsidRPr="00DC2E8C" w:rsidRDefault="00DA103D" w:rsidP="00DA103D">
      <w:pPr>
        <w:pStyle w:val="ConsPlusNormal"/>
        <w:jc w:val="both"/>
        <w:rPr>
          <w:b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544"/>
        <w:gridCol w:w="3685"/>
        <w:gridCol w:w="1418"/>
        <w:gridCol w:w="1417"/>
        <w:gridCol w:w="1276"/>
        <w:gridCol w:w="1134"/>
      </w:tblGrid>
      <w:tr w:rsidR="00DA103D" w:rsidRPr="00DC2E8C" w:rsidTr="006F318A">
        <w:tc>
          <w:tcPr>
            <w:tcW w:w="3039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354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Коорди</w:t>
            </w:r>
          </w:p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натор муниципальной программы, соиспол</w:t>
            </w:r>
          </w:p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нители</w:t>
            </w: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418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417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276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DA103D" w:rsidRPr="00DC2E8C" w:rsidTr="006F318A">
        <w:tc>
          <w:tcPr>
            <w:tcW w:w="3039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354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418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417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276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DA103D" w:rsidRPr="00DC2E8C" w:rsidTr="00AB5306">
        <w:tc>
          <w:tcPr>
            <w:tcW w:w="15513" w:type="dxa"/>
            <w:gridSpan w:val="7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DA103D" w:rsidRPr="00DC2E8C" w:rsidTr="006F318A">
        <w:tc>
          <w:tcPr>
            <w:tcW w:w="3039" w:type="dxa"/>
            <w:vMerge w:val="restart"/>
          </w:tcPr>
          <w:p w:rsidR="00DA103D" w:rsidRPr="00AB5306" w:rsidRDefault="00DA103D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AB5306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AB5306">
              <w:rPr>
                <w:rFonts w:ascii="PT Astra Serif" w:hAnsi="PT Astra Serif"/>
                <w:sz w:val="22"/>
                <w:szCs w:val="22"/>
              </w:rPr>
              <w:t>Благоустройство территории муниципального образования «Старосахчинское сельское поселение» Мелекесского района Ульяновской области»</w:t>
            </w:r>
          </w:p>
        </w:tc>
        <w:tc>
          <w:tcPr>
            <w:tcW w:w="3544" w:type="dxa"/>
            <w:vMerge w:val="restart"/>
          </w:tcPr>
          <w:p w:rsidR="00DA103D" w:rsidRPr="00AB5306" w:rsidRDefault="00DA103D" w:rsidP="00DA1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DA103D" w:rsidRPr="00DC2E8C" w:rsidRDefault="006F318A" w:rsidP="006F318A">
            <w:pPr>
              <w:pStyle w:val="ConsPlusNormal"/>
            </w:pPr>
            <w:r>
              <w:t>4615</w:t>
            </w:r>
            <w:r w:rsidR="00AB5306">
              <w:t>,</w:t>
            </w:r>
            <w:r>
              <w:t>51591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Pr="00AB5306" w:rsidRDefault="006F318A" w:rsidP="0069051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F318A">
            <w:pPr>
              <w:pStyle w:val="ConsPlusNormal"/>
            </w:pPr>
            <w:r>
              <w:t>4221,74053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DA103D" w:rsidRPr="00DC2E8C" w:rsidRDefault="00AB5306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DA103D" w:rsidRPr="00DC2E8C" w:rsidRDefault="00AB5306" w:rsidP="00AB5306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 w:val="restart"/>
          </w:tcPr>
          <w:p w:rsidR="00DA103D" w:rsidRPr="00AB5306" w:rsidRDefault="00DA103D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AB5306">
              <w:rPr>
                <w:sz w:val="22"/>
                <w:szCs w:val="22"/>
              </w:rPr>
              <w:t>Мероприятие</w:t>
            </w:r>
            <w:r w:rsidR="00AB5306" w:rsidRPr="00AB5306">
              <w:rPr>
                <w:sz w:val="22"/>
                <w:szCs w:val="22"/>
              </w:rPr>
              <w:t xml:space="preserve"> </w:t>
            </w:r>
            <w:r w:rsidR="00AB5306" w:rsidRPr="00AB530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 xml:space="preserve">«Обустройство </w:t>
            </w:r>
            <w:r w:rsidR="00AB5306" w:rsidRPr="00AB530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lastRenderedPageBreak/>
              <w:t>щебеночного покрытия по ул.3-Интернационала, ул.Молодежная,пер. Костина в с.Старая Сахча Мелекессского района»</w:t>
            </w:r>
          </w:p>
        </w:tc>
        <w:tc>
          <w:tcPr>
            <w:tcW w:w="3544" w:type="dxa"/>
            <w:vMerge w:val="restart"/>
          </w:tcPr>
          <w:p w:rsidR="00AB5306" w:rsidRPr="00AB5306" w:rsidRDefault="00AB5306" w:rsidP="00AB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lastRenderedPageBreak/>
              <w:t xml:space="preserve">Администрация муниципального </w:t>
            </w:r>
            <w:r w:rsidRPr="00AB5306">
              <w:rPr>
                <w:rFonts w:ascii="PT Astra Serif" w:hAnsi="PT Astra Serif" w:cs="PT Astra Serif"/>
              </w:rPr>
              <w:lastRenderedPageBreak/>
              <w:t>образования «Старосахчинское сельское поселение» Мелекесского района  Ульяновской области</w:t>
            </w:r>
          </w:p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A103D" w:rsidRPr="00DC2E8C" w:rsidRDefault="00DA103D" w:rsidP="0069051A">
            <w:pPr>
              <w:pStyle w:val="ConsPlusNormal"/>
            </w:pPr>
            <w:r w:rsidRPr="00DC2E8C">
              <w:lastRenderedPageBreak/>
              <w:t>Всего</w:t>
            </w:r>
          </w:p>
        </w:tc>
        <w:tc>
          <w:tcPr>
            <w:tcW w:w="1418" w:type="dxa"/>
          </w:tcPr>
          <w:p w:rsidR="00DA103D" w:rsidRPr="00DC2E8C" w:rsidRDefault="006F318A" w:rsidP="0069051A">
            <w:pPr>
              <w:pStyle w:val="ConsPlusNormal"/>
            </w:pPr>
            <w:r>
              <w:t>826,49420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B5306" w:rsidRPr="00DC2E8C" w:rsidRDefault="00AB5306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432,71882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B5306" w:rsidRPr="00DC2E8C" w:rsidRDefault="00AB5306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B5306" w:rsidRPr="00DC2E8C" w:rsidRDefault="00AB5306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"Мероприятия по содержанию памятных сооружений"</w:t>
            </w:r>
          </w:p>
        </w:tc>
        <w:tc>
          <w:tcPr>
            <w:tcW w:w="3544" w:type="dxa"/>
            <w:vMerge w:val="restart"/>
          </w:tcPr>
          <w:p w:rsidR="006F318A" w:rsidRPr="00AB5306" w:rsidRDefault="006F318A" w:rsidP="00AB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78,80000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78,80000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"Мероприятия по организации ритуальных услуг и содержание мест захоронения"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138,72000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138,72000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"Ремонт и содержание автомобильных дорог общего        пользования"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3071,50171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3071,50171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007CAC">
            <w:r w:rsidRPr="00AB5306">
              <w:rPr>
                <w:rFonts w:ascii="PT Astra Serif" w:hAnsi="PT Astra Serif"/>
                <w:color w:val="000000"/>
              </w:rPr>
              <w:t>Комплекс процессных мероприятий "Мероприятия в части благоустройства"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500,00000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Default="006F318A"/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500,00000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DC2E8C">
              <w:t>Итого по муниципальной программе</w:t>
            </w: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4615,51591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4221,74053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650,91890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</w:pPr>
            <w:r>
              <w:t>Б</w:t>
            </w:r>
            <w:r w:rsidRPr="00DC2E8C">
              <w:t xml:space="preserve">юджетные ассигнования </w:t>
            </w:r>
            <w:r>
              <w:t>областного бюджета (за счет средств Федерального бюджета)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6583" w:type="dxa"/>
            <w:gridSpan w:val="2"/>
            <w:vMerge/>
          </w:tcPr>
          <w:p w:rsidR="00DA103D" w:rsidRPr="00DC2E8C" w:rsidRDefault="00DA103D" w:rsidP="0069051A">
            <w:pPr>
              <w:pStyle w:val="ConsPlusNormal"/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DA103D" w:rsidRPr="00DC2E8C" w:rsidRDefault="006F318A" w:rsidP="0069051A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</w:tbl>
    <w:p w:rsidR="00DA103D" w:rsidRPr="00DC2E8C" w:rsidRDefault="00DA103D" w:rsidP="00DA103D">
      <w:pPr>
        <w:pStyle w:val="ConsPlusNormal"/>
        <w:jc w:val="both"/>
      </w:pP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________________</w:t>
      </w:r>
      <w:r w:rsidR="006F318A">
        <w:rPr>
          <w:rFonts w:ascii="Times New Roman" w:hAnsi="Times New Roman"/>
          <w:sz w:val="28"/>
          <w:szCs w:val="28"/>
        </w:rPr>
        <w:t>Владимиркина Т.А.</w:t>
      </w: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DA103D" w:rsidRPr="00DC2E8C" w:rsidRDefault="00DA103D" w:rsidP="00DA103D">
      <w:pPr>
        <w:pStyle w:val="ConsPlusNormal"/>
        <w:jc w:val="both"/>
      </w:pPr>
    </w:p>
    <w:p w:rsidR="00DA103D" w:rsidRDefault="00DA103D" w:rsidP="00DA103D">
      <w:pPr>
        <w:pStyle w:val="ConsPlusNormal"/>
        <w:jc w:val="right"/>
        <w:rPr>
          <w:b/>
          <w:lang w:val="en-US"/>
        </w:rPr>
      </w:pPr>
    </w:p>
    <w:p w:rsidR="00E57509" w:rsidRDefault="00E57509"/>
    <w:sectPr w:rsidR="00E57509" w:rsidSect="00DA10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03D"/>
    <w:rsid w:val="00356231"/>
    <w:rsid w:val="00640418"/>
    <w:rsid w:val="006F318A"/>
    <w:rsid w:val="00AB5306"/>
    <w:rsid w:val="00B2248E"/>
    <w:rsid w:val="00DA103D"/>
    <w:rsid w:val="00E57509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DA10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2025-05-13T06:40:00Z</dcterms:created>
  <dcterms:modified xsi:type="dcterms:W3CDTF">2025-05-13T06:40:00Z</dcterms:modified>
</cp:coreProperties>
</file>